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rPr>
          <w:rFonts w:hint="eastAsia"/>
          <w:bCs/>
          <w:iCs/>
          <w:color w:val="000000"/>
          <w:sz w:val="28"/>
          <w:szCs w:val="28"/>
        </w:rPr>
      </w:pPr>
      <w:r>
        <w:rPr>
          <w:rFonts w:hAnsi="宋体"/>
          <w:bCs/>
          <w:iCs/>
          <w:color w:val="000000"/>
          <w:sz w:val="28"/>
          <w:szCs w:val="28"/>
        </w:rPr>
        <w:t>证券代码：</w:t>
      </w:r>
      <w:r>
        <w:rPr>
          <w:bCs/>
          <w:iCs/>
          <w:color w:val="000000"/>
          <w:sz w:val="28"/>
          <w:szCs w:val="28"/>
        </w:rPr>
        <w:t xml:space="preserve"> </w:t>
      </w:r>
      <w:r>
        <w:rPr>
          <w:color w:val="000000"/>
          <w:sz w:val="28"/>
          <w:szCs w:val="28"/>
        </w:rPr>
        <w:t xml:space="preserve">000886                       </w:t>
      </w:r>
      <w:r>
        <w:rPr>
          <w:rFonts w:hAnsi="宋体"/>
          <w:bCs/>
          <w:iCs/>
          <w:color w:val="000000"/>
          <w:sz w:val="28"/>
          <w:szCs w:val="28"/>
        </w:rPr>
        <w:t>证券简称：</w:t>
      </w:r>
      <w:r>
        <w:rPr>
          <w:color w:val="000000"/>
          <w:sz w:val="28"/>
          <w:szCs w:val="28"/>
        </w:rPr>
        <w:t>海南高速</w:t>
      </w:r>
    </w:p>
    <w:p>
      <w:pPr>
        <w:spacing w:before="156" w:beforeLines="50" w:after="156" w:afterLines="50" w:line="400" w:lineRule="exact"/>
        <w:jc w:val="center"/>
        <w:rPr>
          <w:rFonts w:hint="default" w:ascii="宋体" w:hAnsi="宋体"/>
          <w:b/>
          <w:bCs/>
          <w:iCs/>
          <w:color w:val="000000"/>
          <w:sz w:val="32"/>
          <w:szCs w:val="32"/>
        </w:rPr>
      </w:pPr>
    </w:p>
    <w:p>
      <w:pPr>
        <w:spacing w:before="156" w:beforeLines="50" w:after="156" w:afterLines="50" w:line="400" w:lineRule="exact"/>
        <w:jc w:val="center"/>
        <w:rPr>
          <w:rFonts w:hint="default" w:ascii="宋体" w:hAnsi="宋体"/>
          <w:b/>
          <w:bCs/>
          <w:iCs/>
          <w:color w:val="000000"/>
          <w:sz w:val="36"/>
          <w:szCs w:val="36"/>
        </w:rPr>
      </w:pPr>
      <w:r>
        <w:rPr>
          <w:rFonts w:hint="default" w:ascii="宋体" w:hAnsi="宋体"/>
          <w:b/>
          <w:bCs/>
          <w:iCs/>
          <w:color w:val="000000"/>
          <w:sz w:val="36"/>
          <w:szCs w:val="36"/>
        </w:rPr>
        <w:t>海南高速公路股份有限公司</w:t>
      </w:r>
    </w:p>
    <w:p>
      <w:pPr>
        <w:spacing w:before="156" w:beforeLines="50" w:after="156" w:afterLines="50" w:line="400" w:lineRule="exact"/>
        <w:jc w:val="center"/>
        <w:rPr>
          <w:rFonts w:hint="eastAsia" w:ascii="宋体" w:hAnsi="宋体"/>
          <w:b/>
          <w:bCs/>
          <w:iCs/>
          <w:color w:val="000000"/>
          <w:sz w:val="36"/>
          <w:szCs w:val="36"/>
        </w:rPr>
      </w:pPr>
      <w:r>
        <w:rPr>
          <w:rFonts w:hint="eastAsia" w:ascii="宋体" w:hAnsi="宋体"/>
          <w:b/>
          <w:bCs/>
          <w:iCs/>
          <w:color w:val="000000"/>
          <w:sz w:val="36"/>
          <w:szCs w:val="36"/>
        </w:rPr>
        <w:t>投资者关系活动记录表</w:t>
      </w:r>
    </w:p>
    <w:p>
      <w:pPr>
        <w:spacing w:line="400" w:lineRule="exact"/>
        <w:jc w:val="right"/>
        <w:rPr>
          <w:rFonts w:hint="default" w:ascii="Times New Roman" w:hAnsi="Times New Roman" w:eastAsia="宋体" w:cs="Times New Roman"/>
          <w:bCs/>
          <w:iCs/>
          <w:color w:val="000000"/>
          <w:sz w:val="24"/>
          <w:highlight w:val="yellow"/>
          <w:lang w:val="en-US" w:eastAsia="zh-CN"/>
        </w:rPr>
      </w:pPr>
      <w:r>
        <w:rPr>
          <w:rFonts w:hint="eastAsia" w:ascii="宋体" w:hAnsi="宋体"/>
          <w:bCs/>
          <w:iCs/>
          <w:color w:val="000000"/>
          <w:sz w:val="24"/>
        </w:rPr>
        <w:t xml:space="preserve">                                                     </w:t>
      </w:r>
      <w:r>
        <w:rPr>
          <w:rFonts w:hint="eastAsia" w:ascii="宋体" w:hAnsi="宋体"/>
          <w:bCs/>
          <w:iCs/>
          <w:color w:val="000000"/>
          <w:sz w:val="24"/>
          <w:lang w:val="en-US" w:eastAsia="zh-CN"/>
        </w:rPr>
        <w:t xml:space="preserve">   </w:t>
      </w:r>
      <w:r>
        <w:rPr>
          <w:rFonts w:hint="default" w:ascii="Times New Roman" w:hAnsi="Times New Roman" w:cs="Times New Roman"/>
          <w:bCs/>
          <w:iCs/>
          <w:color w:val="000000"/>
          <w:sz w:val="24"/>
          <w:lang w:val="en-US" w:eastAsia="zh-CN"/>
        </w:rPr>
        <w:t>编号：</w:t>
      </w:r>
      <w:r>
        <w:rPr>
          <w:rFonts w:hint="default" w:ascii="Times New Roman" w:hAnsi="Times New Roman" w:cs="Times New Roman"/>
          <w:bCs/>
          <w:iCs/>
          <w:color w:val="000000"/>
          <w:sz w:val="24"/>
          <w:highlight w:val="none"/>
          <w:lang w:val="en-US" w:eastAsia="zh-CN"/>
        </w:rPr>
        <w:t>202</w:t>
      </w:r>
      <w:r>
        <w:rPr>
          <w:rFonts w:hint="eastAsia" w:cs="Times New Roman"/>
          <w:bCs/>
          <w:iCs/>
          <w:color w:val="000000"/>
          <w:sz w:val="24"/>
          <w:highlight w:val="none"/>
          <w:lang w:val="en-US" w:eastAsia="zh-CN"/>
        </w:rPr>
        <w:t>5</w:t>
      </w:r>
      <w:r>
        <w:rPr>
          <w:rFonts w:hint="default" w:ascii="Times New Roman" w:hAnsi="Times New Roman" w:cs="Times New Roman"/>
          <w:bCs/>
          <w:iCs/>
          <w:color w:val="000000"/>
          <w:sz w:val="24"/>
          <w:highlight w:val="none"/>
          <w:lang w:val="en-US" w:eastAsia="zh-CN"/>
        </w:rPr>
        <w:t>-05</w:t>
      </w:r>
    </w:p>
    <w:tbl>
      <w:tblPr>
        <w:tblStyle w:val="6"/>
        <w:tblW w:w="9690" w:type="dxa"/>
        <w:tblInd w:w="-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84"/>
        <w:gridCol w:w="72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4" w:type="dxa"/>
            <w:tcBorders>
              <w:top w:val="single" w:color="auto" w:sz="4" w:space="0"/>
              <w:left w:val="single" w:color="auto" w:sz="4" w:space="0"/>
              <w:bottom w:val="single" w:color="auto" w:sz="4" w:space="0"/>
              <w:right w:val="single" w:color="auto" w:sz="4" w:space="0"/>
            </w:tcBorders>
            <w:noWrap w:val="0"/>
            <w:vAlign w:val="top"/>
          </w:tcPr>
          <w:p>
            <w:pPr>
              <w:spacing w:line="420" w:lineRule="exact"/>
              <w:rPr>
                <w:rFonts w:hint="default" w:ascii="Times New Roman" w:hAnsi="Times New Roman" w:cs="Times New Roman"/>
                <w:bCs/>
                <w:iCs/>
                <w:color w:val="000000"/>
                <w:kern w:val="0"/>
                <w:sz w:val="24"/>
              </w:rPr>
            </w:pPr>
            <w:r>
              <w:rPr>
                <w:rFonts w:hint="default" w:ascii="Times New Roman" w:hAnsi="Times New Roman" w:cs="Times New Roman"/>
                <w:bCs/>
                <w:iCs/>
                <w:color w:val="000000"/>
                <w:kern w:val="0"/>
                <w:sz w:val="24"/>
              </w:rPr>
              <w:t>投资者关系活动类别</w:t>
            </w:r>
          </w:p>
          <w:p>
            <w:pPr>
              <w:spacing w:line="420" w:lineRule="exact"/>
              <w:rPr>
                <w:rFonts w:hint="default" w:ascii="Times New Roman" w:hAnsi="Times New Roman" w:cs="Times New Roman"/>
                <w:bCs/>
                <w:iCs/>
                <w:color w:val="000000"/>
                <w:sz w:val="24"/>
              </w:rPr>
            </w:pPr>
          </w:p>
        </w:tc>
        <w:tc>
          <w:tcPr>
            <w:tcW w:w="7206" w:type="dxa"/>
            <w:tcBorders>
              <w:top w:val="single" w:color="auto" w:sz="4" w:space="0"/>
              <w:left w:val="single" w:color="auto" w:sz="4" w:space="0"/>
              <w:bottom w:val="single" w:color="auto" w:sz="4" w:space="0"/>
              <w:right w:val="single" w:color="auto" w:sz="4" w:space="0"/>
            </w:tcBorders>
            <w:noWrap w:val="0"/>
            <w:vAlign w:val="top"/>
          </w:tcPr>
          <w:p>
            <w:pPr>
              <w:spacing w:line="420" w:lineRule="exact"/>
              <w:rPr>
                <w:rFonts w:hint="default" w:ascii="Times New Roman" w:hAnsi="Times New Roman" w:cs="Times New Roman"/>
                <w:bCs/>
                <w:iCs/>
                <w:color w:val="000000"/>
                <w:sz w:val="24"/>
              </w:rPr>
            </w:pPr>
            <w:r>
              <w:rPr>
                <w:rFonts w:hint="default" w:ascii="Times New Roman" w:hAnsi="Times New Roman" w:cs="Times New Roman"/>
                <w:bCs/>
                <w:iCs/>
                <w:color w:val="000000"/>
                <w:kern w:val="0"/>
                <w:sz w:val="24"/>
              </w:rPr>
              <w:t>□</w:t>
            </w:r>
            <w:r>
              <w:rPr>
                <w:rFonts w:hint="default" w:ascii="Times New Roman" w:hAnsi="Times New Roman" w:cs="Times New Roman"/>
                <w:kern w:val="0"/>
                <w:sz w:val="24"/>
              </w:rPr>
              <w:t xml:space="preserve">特定对象调研         </w:t>
            </w:r>
            <w:r>
              <w:rPr>
                <w:rFonts w:hint="default" w:ascii="Times New Roman" w:hAnsi="Times New Roman" w:cs="Times New Roman"/>
                <w:bCs/>
                <w:iCs/>
                <w:color w:val="000000"/>
                <w:kern w:val="0"/>
                <w:sz w:val="24"/>
              </w:rPr>
              <w:t xml:space="preserve">□ </w:t>
            </w:r>
            <w:r>
              <w:rPr>
                <w:rFonts w:hint="default" w:ascii="Times New Roman" w:hAnsi="Times New Roman" w:cs="Times New Roman"/>
                <w:kern w:val="0"/>
                <w:sz w:val="24"/>
              </w:rPr>
              <w:t>分析师会议</w:t>
            </w:r>
          </w:p>
          <w:p>
            <w:pPr>
              <w:spacing w:line="420" w:lineRule="exact"/>
              <w:rPr>
                <w:rFonts w:hint="default" w:ascii="Times New Roman" w:hAnsi="Times New Roman" w:cs="Times New Roman"/>
                <w:bCs/>
                <w:iCs/>
                <w:color w:val="000000"/>
                <w:kern w:val="0"/>
                <w:sz w:val="24"/>
              </w:rPr>
            </w:pPr>
            <w:r>
              <w:rPr>
                <w:rFonts w:hint="default" w:ascii="Times New Roman" w:hAnsi="Times New Roman" w:cs="Times New Roman"/>
                <w:bCs/>
                <w:iCs/>
                <w:color w:val="000000"/>
                <w:kern w:val="0"/>
                <w:sz w:val="24"/>
              </w:rPr>
              <w:t xml:space="preserve">□ </w:t>
            </w:r>
            <w:r>
              <w:rPr>
                <w:rFonts w:hint="default" w:ascii="Times New Roman" w:hAnsi="Times New Roman" w:cs="Times New Roman"/>
                <w:kern w:val="0"/>
                <w:sz w:val="24"/>
              </w:rPr>
              <w:t xml:space="preserve">媒体采访            </w:t>
            </w:r>
            <w:r>
              <w:rPr>
                <w:rFonts w:hint="default" w:ascii="Times New Roman" w:hAnsi="Times New Roman" w:cs="Times New Roman"/>
                <w:bCs/>
                <w:iCs/>
                <w:color w:val="000000"/>
                <w:kern w:val="0"/>
                <w:sz w:val="24"/>
              </w:rPr>
              <w:t xml:space="preserve">√ </w:t>
            </w:r>
            <w:r>
              <w:rPr>
                <w:rFonts w:hint="default" w:ascii="Times New Roman" w:hAnsi="Times New Roman" w:cs="Times New Roman"/>
                <w:kern w:val="0"/>
                <w:sz w:val="24"/>
              </w:rPr>
              <w:t>业绩说明会</w:t>
            </w:r>
          </w:p>
          <w:p>
            <w:pPr>
              <w:spacing w:line="420" w:lineRule="exact"/>
              <w:rPr>
                <w:rFonts w:hint="default" w:ascii="Times New Roman" w:hAnsi="Times New Roman" w:cs="Times New Roman"/>
                <w:bCs/>
                <w:iCs/>
                <w:color w:val="000000"/>
                <w:kern w:val="0"/>
                <w:sz w:val="24"/>
              </w:rPr>
            </w:pPr>
            <w:r>
              <w:rPr>
                <w:rFonts w:hint="default" w:ascii="Times New Roman" w:hAnsi="Times New Roman" w:cs="Times New Roman"/>
                <w:bCs/>
                <w:iCs/>
                <w:color w:val="000000"/>
                <w:kern w:val="0"/>
                <w:sz w:val="24"/>
              </w:rPr>
              <w:t xml:space="preserve">□ </w:t>
            </w:r>
            <w:r>
              <w:rPr>
                <w:rFonts w:hint="default" w:ascii="Times New Roman" w:hAnsi="Times New Roman" w:cs="Times New Roman"/>
                <w:kern w:val="0"/>
                <w:sz w:val="24"/>
              </w:rPr>
              <w:t xml:space="preserve">新闻发布会          </w:t>
            </w:r>
            <w:r>
              <w:rPr>
                <w:rFonts w:hint="default" w:ascii="Times New Roman" w:hAnsi="Times New Roman" w:cs="Times New Roman"/>
                <w:bCs/>
                <w:iCs/>
                <w:color w:val="000000"/>
                <w:kern w:val="0"/>
                <w:sz w:val="24"/>
              </w:rPr>
              <w:t xml:space="preserve">□ </w:t>
            </w:r>
            <w:r>
              <w:rPr>
                <w:rFonts w:hint="default" w:ascii="Times New Roman" w:hAnsi="Times New Roman" w:cs="Times New Roman"/>
                <w:kern w:val="0"/>
                <w:sz w:val="24"/>
              </w:rPr>
              <w:t>路演活动</w:t>
            </w:r>
          </w:p>
          <w:p>
            <w:pPr>
              <w:tabs>
                <w:tab w:val="left" w:pos="3045"/>
                <w:tab w:val="center" w:pos="3199"/>
              </w:tabs>
              <w:spacing w:line="420" w:lineRule="exact"/>
              <w:rPr>
                <w:rFonts w:hint="default" w:ascii="Times New Roman" w:hAnsi="Times New Roman" w:cs="Times New Roman"/>
                <w:bCs/>
                <w:iCs/>
                <w:color w:val="000000"/>
                <w:kern w:val="0"/>
                <w:sz w:val="24"/>
              </w:rPr>
            </w:pPr>
            <w:r>
              <w:rPr>
                <w:rFonts w:hint="default" w:ascii="Times New Roman" w:hAnsi="Times New Roman" w:cs="Times New Roman"/>
                <w:bCs/>
                <w:iCs/>
                <w:color w:val="000000"/>
                <w:kern w:val="0"/>
                <w:sz w:val="24"/>
              </w:rPr>
              <w:t xml:space="preserve">□ </w:t>
            </w:r>
            <w:r>
              <w:rPr>
                <w:rFonts w:hint="default" w:ascii="Times New Roman" w:hAnsi="Times New Roman" w:cs="Times New Roman"/>
                <w:kern w:val="0"/>
                <w:sz w:val="24"/>
              </w:rPr>
              <w:t>现场参观</w:t>
            </w:r>
            <w:r>
              <w:rPr>
                <w:rFonts w:hint="default" w:ascii="Times New Roman" w:hAnsi="Times New Roman" w:cs="Times New Roman"/>
                <w:bCs/>
                <w:iCs/>
                <w:color w:val="000000"/>
                <w:kern w:val="0"/>
                <w:sz w:val="24"/>
              </w:rPr>
              <w:tab/>
            </w:r>
          </w:p>
          <w:p>
            <w:pPr>
              <w:tabs>
                <w:tab w:val="center" w:pos="3199"/>
              </w:tabs>
              <w:spacing w:line="420" w:lineRule="exact"/>
              <w:rPr>
                <w:rFonts w:hint="default" w:ascii="Times New Roman" w:hAnsi="Times New Roman" w:cs="Times New Roman"/>
                <w:bCs/>
                <w:iCs/>
                <w:color w:val="000000"/>
                <w:sz w:val="24"/>
              </w:rPr>
            </w:pPr>
            <w:r>
              <w:rPr>
                <w:rFonts w:hint="default" w:ascii="Times New Roman" w:hAnsi="Times New Roman" w:cs="Times New Roman"/>
                <w:bCs/>
                <w:iCs/>
                <w:color w:val="000000"/>
                <w:kern w:val="0"/>
                <w:sz w:val="24"/>
              </w:rPr>
              <w:t xml:space="preserve">□ </w:t>
            </w:r>
            <w:r>
              <w:rPr>
                <w:rFonts w:hint="default" w:ascii="Times New Roman" w:hAnsi="Times New Roman" w:cs="Times New Roman"/>
                <w:kern w:val="0"/>
                <w:sz w:val="24"/>
              </w:rPr>
              <w:t>其他 （</w:t>
            </w:r>
            <w:r>
              <w:rPr>
                <w:rFonts w:hint="default" w:ascii="Times New Roman" w:hAnsi="Times New Roman" w:cs="Times New Roman"/>
                <w:kern w:val="0"/>
                <w:sz w:val="24"/>
                <w:u w:val="single"/>
              </w:rPr>
              <w:t>请文字说明其他活动内容）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4" w:type="dxa"/>
            <w:tcBorders>
              <w:top w:val="single" w:color="auto" w:sz="4" w:space="0"/>
              <w:left w:val="single" w:color="auto" w:sz="4" w:space="0"/>
              <w:bottom w:val="single" w:color="auto" w:sz="4" w:space="0"/>
              <w:right w:val="single" w:color="auto" w:sz="4" w:space="0"/>
            </w:tcBorders>
            <w:noWrap w:val="0"/>
            <w:vAlign w:val="top"/>
          </w:tcPr>
          <w:p>
            <w:pPr>
              <w:spacing w:line="420" w:lineRule="exact"/>
              <w:rPr>
                <w:rFonts w:hint="default" w:ascii="Times New Roman" w:hAnsi="Times New Roman" w:cs="Times New Roman"/>
                <w:bCs/>
                <w:iCs/>
                <w:color w:val="000000"/>
                <w:kern w:val="0"/>
                <w:sz w:val="24"/>
              </w:rPr>
            </w:pPr>
            <w:r>
              <w:rPr>
                <w:rFonts w:hint="default" w:ascii="Times New Roman" w:hAnsi="Times New Roman" w:cs="Times New Roman"/>
                <w:bCs/>
                <w:iCs/>
                <w:color w:val="000000"/>
                <w:kern w:val="0"/>
                <w:sz w:val="24"/>
              </w:rPr>
              <w:t>参与单位名称及人员姓名</w:t>
            </w:r>
          </w:p>
        </w:tc>
        <w:tc>
          <w:tcPr>
            <w:tcW w:w="7206" w:type="dxa"/>
            <w:tcBorders>
              <w:top w:val="single" w:color="auto" w:sz="4" w:space="0"/>
              <w:left w:val="single" w:color="auto" w:sz="4" w:space="0"/>
              <w:bottom w:val="single" w:color="auto" w:sz="4" w:space="0"/>
              <w:right w:val="single" w:color="auto" w:sz="4" w:space="0"/>
            </w:tcBorders>
            <w:noWrap w:val="0"/>
            <w:vAlign w:val="top"/>
          </w:tcPr>
          <w:p>
            <w:pPr>
              <w:spacing w:line="420" w:lineRule="exact"/>
              <w:rPr>
                <w:rFonts w:hint="default" w:ascii="Times New Roman" w:hAnsi="Times New Roman" w:eastAsia="宋体" w:cs="Times New Roman"/>
                <w:bCs/>
                <w:iCs/>
                <w:color w:val="000000"/>
                <w:sz w:val="24"/>
                <w:lang w:val="en-GB" w:eastAsia="zh-CN"/>
              </w:rPr>
            </w:pPr>
            <w:r>
              <w:rPr>
                <w:rFonts w:hint="default" w:ascii="Times New Roman" w:hAnsi="Times New Roman" w:cs="Times New Roman"/>
                <w:bCs/>
                <w:iCs/>
                <w:color w:val="000000"/>
                <w:kern w:val="0"/>
                <w:sz w:val="24"/>
              </w:rPr>
              <w:t>通过全景路演</w:t>
            </w:r>
            <w:r>
              <w:rPr>
                <w:rFonts w:hint="eastAsia" w:cs="Times New Roman"/>
                <w:bCs/>
                <w:iCs/>
                <w:color w:val="000000"/>
                <w:kern w:val="0"/>
                <w:sz w:val="24"/>
                <w:lang w:val="en-US" w:eastAsia="zh-CN"/>
              </w:rPr>
              <w:t>平台</w:t>
            </w:r>
            <w:r>
              <w:rPr>
                <w:rFonts w:hint="default" w:ascii="Times New Roman" w:hAnsi="Times New Roman" w:cs="Times New Roman"/>
                <w:bCs/>
                <w:iCs/>
                <w:color w:val="000000"/>
                <w:kern w:val="0"/>
                <w:sz w:val="24"/>
              </w:rPr>
              <w:t>：</w:t>
            </w:r>
            <w:r>
              <w:rPr>
                <w:rFonts w:hint="default" w:ascii="Times New Roman" w:hAnsi="Times New Roman" w:cs="Times New Roman"/>
                <w:bCs/>
                <w:iCs/>
                <w:color w:val="000000"/>
                <w:kern w:val="0"/>
                <w:sz w:val="24"/>
                <w:lang w:val="en-US" w:eastAsia="zh-CN"/>
              </w:rPr>
              <w:t>https://rs.p5w.net</w:t>
            </w:r>
            <w:r>
              <w:rPr>
                <w:rFonts w:hint="default" w:ascii="Times New Roman" w:hAnsi="Times New Roman" w:cs="Times New Roman"/>
                <w:bCs/>
                <w:iCs/>
                <w:color w:val="000000"/>
                <w:kern w:val="0"/>
                <w:sz w:val="24"/>
              </w:rPr>
              <w:t>参与“</w:t>
            </w:r>
            <w:r>
              <w:rPr>
                <w:rFonts w:hint="default" w:ascii="Times New Roman" w:hAnsi="Times New Roman" w:cs="Times New Roman"/>
                <w:bCs/>
                <w:iCs/>
                <w:color w:val="000000"/>
                <w:kern w:val="0"/>
                <w:sz w:val="24"/>
                <w:lang w:val="en-US" w:eastAsia="zh-CN"/>
              </w:rPr>
              <w:t>2024年度海南辖区上市公司业绩说明会暨投资者集体接待日</w:t>
            </w:r>
            <w:r>
              <w:rPr>
                <w:rFonts w:hint="default" w:ascii="Times New Roman" w:hAnsi="Times New Roman" w:cs="Times New Roman"/>
                <w:bCs/>
                <w:iCs/>
                <w:color w:val="000000"/>
                <w:kern w:val="0"/>
                <w:sz w:val="24"/>
              </w:rPr>
              <w:t>”的所有投资者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4" w:type="dxa"/>
            <w:tcBorders>
              <w:top w:val="single" w:color="auto" w:sz="4" w:space="0"/>
              <w:left w:val="single" w:color="auto" w:sz="4" w:space="0"/>
              <w:bottom w:val="single" w:color="auto" w:sz="4" w:space="0"/>
              <w:right w:val="single" w:color="auto" w:sz="4" w:space="0"/>
            </w:tcBorders>
            <w:noWrap w:val="0"/>
            <w:vAlign w:val="top"/>
          </w:tcPr>
          <w:p>
            <w:pPr>
              <w:spacing w:line="420" w:lineRule="exact"/>
              <w:rPr>
                <w:rFonts w:hint="default" w:ascii="Times New Roman" w:hAnsi="Times New Roman" w:cs="Times New Roman"/>
                <w:bCs/>
                <w:iCs/>
                <w:color w:val="000000"/>
                <w:kern w:val="0"/>
                <w:sz w:val="24"/>
              </w:rPr>
            </w:pPr>
            <w:r>
              <w:rPr>
                <w:rFonts w:hint="default" w:ascii="Times New Roman" w:hAnsi="Times New Roman" w:cs="Times New Roman"/>
                <w:bCs/>
                <w:iCs/>
                <w:color w:val="000000"/>
                <w:kern w:val="0"/>
                <w:sz w:val="24"/>
              </w:rPr>
              <w:t>时间</w:t>
            </w:r>
          </w:p>
        </w:tc>
        <w:tc>
          <w:tcPr>
            <w:tcW w:w="7206" w:type="dxa"/>
            <w:tcBorders>
              <w:top w:val="single" w:color="auto" w:sz="4" w:space="0"/>
              <w:left w:val="single" w:color="auto" w:sz="4" w:space="0"/>
              <w:bottom w:val="single" w:color="auto" w:sz="4" w:space="0"/>
              <w:right w:val="single" w:color="auto" w:sz="4" w:space="0"/>
            </w:tcBorders>
            <w:noWrap w:val="0"/>
            <w:vAlign w:val="top"/>
          </w:tcPr>
          <w:p>
            <w:pPr>
              <w:spacing w:line="420" w:lineRule="exact"/>
              <w:rPr>
                <w:rFonts w:hint="default" w:ascii="Times New Roman" w:hAnsi="Times New Roman" w:cs="Times New Roman"/>
                <w:bCs/>
                <w:iCs/>
                <w:color w:val="000000"/>
                <w:sz w:val="24"/>
              </w:rPr>
            </w:pPr>
            <w:r>
              <w:rPr>
                <w:rFonts w:hint="default" w:ascii="Times New Roman" w:hAnsi="Times New Roman" w:cs="Times New Roman"/>
                <w:bCs/>
                <w:iCs/>
                <w:color w:val="000000"/>
                <w:sz w:val="24"/>
              </w:rPr>
              <w:t>202</w:t>
            </w:r>
            <w:r>
              <w:rPr>
                <w:rFonts w:hint="eastAsia" w:cs="Times New Roman"/>
                <w:bCs/>
                <w:iCs/>
                <w:color w:val="000000"/>
                <w:sz w:val="24"/>
                <w:lang w:val="en-US" w:eastAsia="zh-CN"/>
              </w:rPr>
              <w:t>5</w:t>
            </w:r>
            <w:r>
              <w:rPr>
                <w:rFonts w:hint="default" w:ascii="Times New Roman" w:hAnsi="Times New Roman" w:cs="Times New Roman"/>
                <w:bCs/>
                <w:iCs/>
                <w:color w:val="000000"/>
                <w:sz w:val="24"/>
              </w:rPr>
              <w:t>年5月</w:t>
            </w:r>
            <w:r>
              <w:rPr>
                <w:rFonts w:hint="eastAsia" w:cs="Times New Roman"/>
                <w:bCs/>
                <w:iCs/>
                <w:color w:val="000000"/>
                <w:sz w:val="24"/>
                <w:lang w:val="en-US" w:eastAsia="zh-CN"/>
              </w:rPr>
              <w:t>13</w:t>
            </w:r>
            <w:r>
              <w:rPr>
                <w:rFonts w:hint="default" w:ascii="Times New Roman" w:hAnsi="Times New Roman" w:cs="Times New Roman"/>
                <w:bCs/>
                <w:iCs/>
                <w:color w:val="000000"/>
                <w:sz w:val="24"/>
              </w:rPr>
              <w:t>日 (周</w:t>
            </w:r>
            <w:r>
              <w:rPr>
                <w:rFonts w:hint="eastAsia" w:cs="Times New Roman"/>
                <w:bCs/>
                <w:iCs/>
                <w:color w:val="000000"/>
                <w:sz w:val="24"/>
                <w:lang w:val="en-US" w:eastAsia="zh-CN"/>
              </w:rPr>
              <w:t>二</w:t>
            </w:r>
            <w:r>
              <w:rPr>
                <w:rFonts w:hint="default" w:ascii="Times New Roman" w:hAnsi="Times New Roman" w:cs="Times New Roman"/>
                <w:bCs/>
                <w:iCs/>
                <w:color w:val="000000"/>
                <w:sz w:val="24"/>
              </w:rPr>
              <w:t>) 下午 14:</w:t>
            </w:r>
            <w:r>
              <w:rPr>
                <w:rFonts w:hint="eastAsia" w:cs="Times New Roman"/>
                <w:bCs/>
                <w:iCs/>
                <w:color w:val="000000"/>
                <w:sz w:val="24"/>
                <w:lang w:val="en-US" w:eastAsia="zh-CN"/>
              </w:rPr>
              <w:t>0</w:t>
            </w:r>
            <w:r>
              <w:rPr>
                <w:rFonts w:hint="default" w:ascii="Times New Roman" w:hAnsi="Times New Roman" w:cs="Times New Roman"/>
                <w:bCs/>
                <w:iCs/>
                <w:color w:val="000000"/>
                <w:sz w:val="24"/>
              </w:rPr>
              <w:t>0~17:</w:t>
            </w:r>
            <w:r>
              <w:rPr>
                <w:rFonts w:hint="default" w:ascii="Times New Roman" w:hAnsi="Times New Roman" w:cs="Times New Roman"/>
                <w:bCs/>
                <w:iCs/>
                <w:color w:val="000000"/>
                <w:sz w:val="24"/>
                <w:lang w:val="en-US" w:eastAsia="zh-CN"/>
              </w:rPr>
              <w:t>0</w:t>
            </w:r>
            <w:r>
              <w:rPr>
                <w:rFonts w:hint="default" w:ascii="Times New Roman" w:hAnsi="Times New Roman" w:cs="Times New Roman"/>
                <w:bCs/>
                <w:iCs/>
                <w:color w:val="000000"/>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4" w:type="dxa"/>
            <w:tcBorders>
              <w:top w:val="single" w:color="auto" w:sz="4" w:space="0"/>
              <w:left w:val="single" w:color="auto" w:sz="4" w:space="0"/>
              <w:bottom w:val="single" w:color="auto" w:sz="4" w:space="0"/>
              <w:right w:val="single" w:color="auto" w:sz="4" w:space="0"/>
            </w:tcBorders>
            <w:noWrap w:val="0"/>
            <w:vAlign w:val="top"/>
          </w:tcPr>
          <w:p>
            <w:pPr>
              <w:spacing w:line="420" w:lineRule="exact"/>
              <w:rPr>
                <w:rFonts w:hint="default" w:ascii="Times New Roman" w:hAnsi="Times New Roman" w:cs="Times New Roman"/>
                <w:bCs/>
                <w:iCs/>
                <w:color w:val="000000"/>
                <w:kern w:val="0"/>
                <w:sz w:val="24"/>
              </w:rPr>
            </w:pPr>
            <w:r>
              <w:rPr>
                <w:rFonts w:hint="default" w:ascii="Times New Roman" w:hAnsi="Times New Roman" w:cs="Times New Roman"/>
                <w:bCs/>
                <w:iCs/>
                <w:color w:val="000000"/>
                <w:kern w:val="0"/>
                <w:sz w:val="24"/>
              </w:rPr>
              <w:t>地点</w:t>
            </w:r>
          </w:p>
        </w:tc>
        <w:tc>
          <w:tcPr>
            <w:tcW w:w="7206" w:type="dxa"/>
            <w:tcBorders>
              <w:top w:val="single" w:color="auto" w:sz="4" w:space="0"/>
              <w:left w:val="single" w:color="auto" w:sz="4" w:space="0"/>
              <w:bottom w:val="single" w:color="auto" w:sz="4" w:space="0"/>
              <w:right w:val="single" w:color="auto" w:sz="4" w:space="0"/>
            </w:tcBorders>
            <w:noWrap w:val="0"/>
            <w:vAlign w:val="top"/>
          </w:tcPr>
          <w:p>
            <w:pPr>
              <w:spacing w:line="420" w:lineRule="exact"/>
              <w:rPr>
                <w:rFonts w:hint="default" w:ascii="Times New Roman" w:hAnsi="Times New Roman" w:eastAsia="宋体" w:cs="Times New Roman"/>
                <w:bCs/>
                <w:iCs/>
                <w:color w:val="000000"/>
                <w:sz w:val="24"/>
                <w:lang w:val="en-US" w:eastAsia="zh-CN"/>
              </w:rPr>
            </w:pPr>
            <w:r>
              <w:rPr>
                <w:rFonts w:hint="default" w:ascii="Times New Roman" w:hAnsi="Times New Roman" w:cs="Times New Roman"/>
                <w:bCs/>
                <w:iCs/>
                <w:color w:val="000000"/>
                <w:sz w:val="24"/>
                <w:lang w:val="en-US" w:eastAsia="zh-CN"/>
              </w:rPr>
              <w:t>全景网</w:t>
            </w:r>
            <w:r>
              <w:rPr>
                <w:rFonts w:hint="eastAsia" w:cs="Times New Roman"/>
                <w:bCs/>
                <w:iCs/>
                <w:color w:val="000000"/>
                <w:sz w:val="24"/>
                <w:lang w:val="en-US" w:eastAsia="zh-CN"/>
              </w:rPr>
              <w:t>平台</w:t>
            </w:r>
            <w:r>
              <w:rPr>
                <w:rFonts w:hint="default" w:ascii="Times New Roman" w:hAnsi="Times New Roman" w:cs="Times New Roman"/>
                <w:bCs/>
                <w:iCs/>
                <w:color w:val="000000"/>
                <w:kern w:val="0"/>
                <w:sz w:val="24"/>
                <w:lang w:val="en-US" w:eastAsia="zh-CN"/>
              </w:rPr>
              <w:t>https://rs.p5w.net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4" w:type="dxa"/>
            <w:tcBorders>
              <w:top w:val="single" w:color="auto" w:sz="4" w:space="0"/>
              <w:left w:val="single" w:color="auto" w:sz="4" w:space="0"/>
              <w:bottom w:val="single" w:color="auto" w:sz="4" w:space="0"/>
              <w:right w:val="single" w:color="auto" w:sz="4" w:space="0"/>
            </w:tcBorders>
            <w:noWrap w:val="0"/>
            <w:vAlign w:val="top"/>
          </w:tcPr>
          <w:p>
            <w:pPr>
              <w:spacing w:line="420" w:lineRule="exact"/>
              <w:rPr>
                <w:rFonts w:hint="default" w:ascii="Times New Roman" w:hAnsi="Times New Roman" w:cs="Times New Roman"/>
                <w:bCs/>
                <w:iCs/>
                <w:color w:val="000000"/>
                <w:kern w:val="0"/>
                <w:sz w:val="24"/>
              </w:rPr>
            </w:pPr>
            <w:r>
              <w:rPr>
                <w:rFonts w:hint="default" w:ascii="Times New Roman" w:hAnsi="Times New Roman" w:cs="Times New Roman"/>
                <w:bCs/>
                <w:iCs/>
                <w:color w:val="000000"/>
                <w:kern w:val="0"/>
                <w:sz w:val="24"/>
              </w:rPr>
              <w:t>上市公司接待人员姓名</w:t>
            </w:r>
          </w:p>
        </w:tc>
        <w:tc>
          <w:tcPr>
            <w:tcW w:w="7206" w:type="dxa"/>
            <w:tcBorders>
              <w:top w:val="single" w:color="auto" w:sz="4" w:space="0"/>
              <w:left w:val="single" w:color="auto" w:sz="4" w:space="0"/>
              <w:bottom w:val="single" w:color="auto" w:sz="4" w:space="0"/>
              <w:right w:val="single" w:color="auto" w:sz="4" w:space="0"/>
            </w:tcBorders>
            <w:noWrap w:val="0"/>
            <w:vAlign w:val="center"/>
          </w:tcPr>
          <w:p>
            <w:pPr>
              <w:spacing w:line="420" w:lineRule="exact"/>
              <w:rPr>
                <w:rFonts w:hint="default" w:ascii="宋体" w:hAnsi="宋体"/>
                <w:bCs/>
                <w:sz w:val="24"/>
              </w:rPr>
            </w:pPr>
            <w:r>
              <w:rPr>
                <w:rFonts w:hint="default" w:ascii="宋体" w:hAnsi="宋体"/>
                <w:bCs/>
                <w:sz w:val="24"/>
              </w:rPr>
              <w:t>1、董事长陈泰锋</w:t>
            </w:r>
          </w:p>
          <w:p>
            <w:pPr>
              <w:spacing w:line="420" w:lineRule="exact"/>
              <w:rPr>
                <w:rFonts w:hint="default" w:ascii="宋体" w:hAnsi="宋体"/>
                <w:bCs/>
                <w:sz w:val="24"/>
              </w:rPr>
            </w:pPr>
            <w:r>
              <w:rPr>
                <w:rFonts w:hint="default" w:ascii="宋体" w:hAnsi="宋体"/>
                <w:bCs/>
                <w:sz w:val="24"/>
              </w:rPr>
              <w:t>2、副总经理（主管会计工作负责人）胡东</w:t>
            </w:r>
          </w:p>
          <w:p>
            <w:pPr>
              <w:spacing w:line="420" w:lineRule="exact"/>
              <w:rPr>
                <w:rFonts w:hint="default" w:ascii="宋体" w:hAnsi="宋体"/>
                <w:bCs/>
                <w:sz w:val="24"/>
              </w:rPr>
            </w:pPr>
            <w:r>
              <w:rPr>
                <w:rFonts w:hint="default" w:ascii="宋体" w:hAnsi="宋体"/>
                <w:bCs/>
                <w:sz w:val="24"/>
              </w:rPr>
              <w:t>3、副总经理、董事会秘书宋岚</w:t>
            </w:r>
          </w:p>
          <w:p>
            <w:pPr>
              <w:spacing w:line="420" w:lineRule="exact"/>
              <w:rPr>
                <w:rFonts w:hint="default" w:ascii="宋体" w:hAnsi="宋体"/>
                <w:bCs/>
                <w:sz w:val="24"/>
              </w:rPr>
            </w:pPr>
            <w:r>
              <w:rPr>
                <w:rFonts w:hint="default" w:ascii="宋体" w:hAnsi="宋体"/>
                <w:bCs/>
                <w:sz w:val="24"/>
              </w:rPr>
              <w:t>4、董事会办公室总经理、证券</w:t>
            </w:r>
            <w:r>
              <w:rPr>
                <w:rFonts w:hint="eastAsia" w:ascii="宋体" w:hAnsi="宋体"/>
                <w:bCs/>
                <w:sz w:val="24"/>
                <w:lang w:val="en-US" w:eastAsia="zh-CN"/>
              </w:rPr>
              <w:t>事务</w:t>
            </w:r>
            <w:r>
              <w:rPr>
                <w:rFonts w:hint="default" w:ascii="宋体" w:hAnsi="宋体"/>
                <w:bCs/>
                <w:sz w:val="24"/>
              </w:rPr>
              <w:t>代表谭佳莹</w:t>
            </w:r>
          </w:p>
          <w:p>
            <w:pPr>
              <w:spacing w:line="420" w:lineRule="exact"/>
              <w:rPr>
                <w:rFonts w:hint="default" w:ascii="Times New Roman" w:hAnsi="Times New Roman" w:cs="Times New Roman"/>
                <w:bCs/>
                <w:sz w:val="24"/>
                <w:lang w:val="en-US" w:eastAsia="zh-CN"/>
              </w:rPr>
            </w:pPr>
            <w:r>
              <w:rPr>
                <w:rFonts w:hint="default" w:ascii="宋体" w:hAnsi="宋体"/>
                <w:bCs/>
                <w:sz w:val="24"/>
              </w:rPr>
              <w:t>5、财务会计部总经理郭冬玉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4" w:type="dxa"/>
            <w:tcBorders>
              <w:top w:val="single" w:color="auto" w:sz="4" w:space="0"/>
              <w:left w:val="single" w:color="auto" w:sz="4" w:space="0"/>
              <w:bottom w:val="single" w:color="auto" w:sz="4" w:space="0"/>
              <w:right w:val="single" w:color="auto" w:sz="4" w:space="0"/>
            </w:tcBorders>
            <w:noWrap w:val="0"/>
            <w:vAlign w:val="center"/>
          </w:tcPr>
          <w:p>
            <w:pPr>
              <w:spacing w:line="420" w:lineRule="exact"/>
              <w:rPr>
                <w:rFonts w:hint="default" w:ascii="Times New Roman" w:hAnsi="Times New Roman" w:cs="Times New Roman"/>
                <w:bCs/>
                <w:iCs/>
                <w:color w:val="000000"/>
                <w:kern w:val="0"/>
                <w:sz w:val="24"/>
              </w:rPr>
            </w:pPr>
            <w:r>
              <w:rPr>
                <w:rFonts w:hint="default" w:ascii="Times New Roman" w:hAnsi="Times New Roman" w:cs="Times New Roman"/>
                <w:bCs/>
                <w:iCs/>
                <w:color w:val="000000"/>
                <w:kern w:val="0"/>
                <w:sz w:val="24"/>
              </w:rPr>
              <w:t>投资者关系活动主要内容介绍</w:t>
            </w:r>
          </w:p>
          <w:p>
            <w:pPr>
              <w:spacing w:line="420" w:lineRule="exact"/>
              <w:rPr>
                <w:rFonts w:hint="default" w:ascii="Times New Roman" w:hAnsi="Times New Roman" w:cs="Times New Roman"/>
                <w:bCs/>
                <w:iCs/>
                <w:color w:val="000000"/>
                <w:sz w:val="24"/>
              </w:rPr>
            </w:pPr>
          </w:p>
        </w:tc>
        <w:tc>
          <w:tcPr>
            <w:tcW w:w="7206" w:type="dxa"/>
            <w:tcBorders>
              <w:top w:val="single" w:color="auto" w:sz="4" w:space="0"/>
              <w:left w:val="single" w:color="auto" w:sz="4" w:space="0"/>
              <w:bottom w:val="single" w:color="auto" w:sz="4" w:space="0"/>
              <w:right w:val="single" w:color="auto" w:sz="4" w:space="0"/>
            </w:tcBorders>
            <w:noWrap w:val="0"/>
            <w:vAlign w:val="top"/>
          </w:tcPr>
          <w:p>
            <w:pPr>
              <w:spacing w:line="420" w:lineRule="exact"/>
              <w:ind w:firstLine="480" w:firstLineChars="200"/>
              <w:rPr>
                <w:rFonts w:hint="default" w:ascii="宋体" w:hAnsi="宋体"/>
                <w:bCs/>
                <w:sz w:val="24"/>
                <w:lang w:val="en-US" w:eastAsia="zh-CN"/>
              </w:rPr>
            </w:pPr>
            <w:r>
              <w:rPr>
                <w:rFonts w:hint="default" w:ascii="宋体" w:hAnsi="宋体"/>
                <w:bCs/>
                <w:sz w:val="24"/>
                <w:lang w:val="en-US" w:eastAsia="zh-CN"/>
              </w:rPr>
              <w:t>公司就202</w:t>
            </w:r>
            <w:r>
              <w:rPr>
                <w:rFonts w:hint="eastAsia" w:ascii="宋体" w:hAnsi="宋体"/>
                <w:bCs/>
                <w:sz w:val="24"/>
                <w:lang w:val="en-US" w:eastAsia="zh-CN"/>
              </w:rPr>
              <w:t>4</w:t>
            </w:r>
            <w:r>
              <w:rPr>
                <w:rFonts w:hint="default" w:ascii="宋体" w:hAnsi="宋体"/>
                <w:bCs/>
                <w:sz w:val="24"/>
                <w:lang w:val="en-US" w:eastAsia="zh-CN"/>
              </w:rPr>
              <w:t>年年度报告、财务数据、公司治理、经营情况、发展战略、重大事项等投资者关心的问题，与投资者进行了沟通与交流。主要问答记录整理如下：</w:t>
            </w:r>
          </w:p>
          <w:p>
            <w:pPr>
              <w:spacing w:line="420" w:lineRule="exact"/>
              <w:ind w:firstLine="480" w:firstLineChars="200"/>
              <w:rPr>
                <w:rFonts w:hint="default" w:ascii="宋体" w:hAnsi="宋体"/>
                <w:bCs/>
                <w:sz w:val="24"/>
              </w:rPr>
            </w:pPr>
            <w:r>
              <w:rPr>
                <w:rFonts w:hint="eastAsia" w:ascii="宋体" w:hAnsi="宋体"/>
                <w:bCs/>
                <w:sz w:val="24"/>
                <w:lang w:val="en-US" w:eastAsia="zh-CN"/>
              </w:rPr>
              <w:t>1</w:t>
            </w:r>
            <w:r>
              <w:rPr>
                <w:rFonts w:hint="default" w:ascii="宋体" w:hAnsi="宋体"/>
                <w:bCs/>
                <w:sz w:val="24"/>
              </w:rPr>
              <w:t>、请问陈董事长，自你上任以来，提出来回归主业，转型发展的发展规划，回归主业方面确实成效明显，没有看到转型发展方面有什么成效，车路云试点项目是否会给公司带来销售收入和利润的可持续增长，谢谢！</w:t>
            </w:r>
          </w:p>
          <w:p>
            <w:pPr>
              <w:spacing w:line="420" w:lineRule="exact"/>
              <w:ind w:firstLine="480" w:firstLineChars="200"/>
              <w:rPr>
                <w:rFonts w:hint="default" w:ascii="宋体" w:hAnsi="宋体"/>
                <w:bCs/>
                <w:sz w:val="24"/>
              </w:rPr>
            </w:pPr>
            <w:r>
              <w:rPr>
                <w:rFonts w:hint="default" w:ascii="宋体" w:hAnsi="宋体"/>
                <w:bCs/>
                <w:sz w:val="24"/>
              </w:rPr>
              <w:t>您好！公司作为海南省智能网联汽车“车路云一体化”应用试点示范项目的承建单位，正持续通过强化顶层设计和统筹谋划，创新管理和协作机制，集中调研和探索商业化条件，积极开展阶段性应用落地。感谢关注！</w:t>
            </w:r>
          </w:p>
          <w:p>
            <w:pPr>
              <w:spacing w:line="420" w:lineRule="exact"/>
              <w:ind w:firstLine="480" w:firstLineChars="200"/>
              <w:rPr>
                <w:rFonts w:hint="default" w:ascii="宋体" w:hAnsi="宋体"/>
                <w:bCs/>
                <w:sz w:val="24"/>
              </w:rPr>
            </w:pPr>
            <w:r>
              <w:rPr>
                <w:rFonts w:hint="eastAsia" w:ascii="宋体" w:hAnsi="宋体"/>
                <w:bCs/>
                <w:sz w:val="24"/>
                <w:lang w:val="en-US" w:eastAsia="zh-CN"/>
              </w:rPr>
              <w:t>2</w:t>
            </w:r>
            <w:r>
              <w:rPr>
                <w:rFonts w:hint="default" w:ascii="宋体" w:hAnsi="宋体"/>
                <w:bCs/>
                <w:sz w:val="24"/>
              </w:rPr>
              <w:t>、请问：控股股东海南省交通投资控股有限公司目前增持了多少金额？</w:t>
            </w:r>
          </w:p>
          <w:p>
            <w:pPr>
              <w:spacing w:line="420" w:lineRule="exact"/>
              <w:ind w:firstLine="480" w:firstLineChars="200"/>
              <w:rPr>
                <w:rFonts w:hint="default" w:ascii="宋体" w:hAnsi="宋体"/>
                <w:bCs/>
                <w:sz w:val="24"/>
              </w:rPr>
            </w:pPr>
            <w:r>
              <w:rPr>
                <w:rFonts w:hint="default" w:ascii="宋体" w:hAnsi="宋体"/>
                <w:bCs/>
                <w:sz w:val="24"/>
              </w:rPr>
              <w:t>您好！公司将根据《深圳证券交易所股票上市规则》和《深圳证券交易所上市公司自律监管指引第8号——股份变动管理》等相关规定，持续关注海南交投增持公司股份的有关情况，并及时履行信息披露义务。敬请关注。谢谢！</w:t>
            </w:r>
          </w:p>
          <w:p>
            <w:pPr>
              <w:spacing w:line="420" w:lineRule="exact"/>
              <w:ind w:firstLine="480" w:firstLineChars="200"/>
              <w:rPr>
                <w:rFonts w:hint="default" w:ascii="宋体" w:hAnsi="宋体"/>
                <w:bCs/>
                <w:sz w:val="24"/>
              </w:rPr>
            </w:pPr>
            <w:r>
              <w:rPr>
                <w:rFonts w:hint="eastAsia" w:ascii="宋体" w:hAnsi="宋体"/>
                <w:bCs/>
                <w:sz w:val="24"/>
                <w:lang w:val="en-US" w:eastAsia="zh-CN"/>
              </w:rPr>
              <w:t>3</w:t>
            </w:r>
            <w:r>
              <w:rPr>
                <w:rFonts w:hint="default" w:ascii="宋体" w:hAnsi="宋体"/>
                <w:bCs/>
                <w:sz w:val="24"/>
              </w:rPr>
              <w:t>、请问陈泰锋董事长，车路云一体化建设资金来源包含那些渠道？</w:t>
            </w:r>
          </w:p>
          <w:p>
            <w:pPr>
              <w:spacing w:line="420" w:lineRule="exact"/>
              <w:ind w:firstLine="480" w:firstLineChars="200"/>
              <w:rPr>
                <w:rFonts w:hint="default" w:ascii="宋体" w:hAnsi="宋体"/>
                <w:bCs/>
                <w:sz w:val="24"/>
              </w:rPr>
            </w:pPr>
            <w:r>
              <w:rPr>
                <w:rFonts w:hint="default" w:ascii="宋体" w:hAnsi="宋体"/>
                <w:bCs/>
                <w:sz w:val="24"/>
              </w:rPr>
              <w:t>您好！目前“车路云一体化”应用试点项目处于前期研究阶段，公司将根据项目进展，严格按照相关法律法规和公司章程有关规定，履行相关决策审议程序和信息披露义务。感谢关注！</w:t>
            </w:r>
          </w:p>
          <w:p>
            <w:pPr>
              <w:spacing w:line="420" w:lineRule="exact"/>
              <w:ind w:firstLine="480" w:firstLineChars="200"/>
              <w:rPr>
                <w:rFonts w:hint="default" w:ascii="宋体" w:hAnsi="宋体"/>
                <w:bCs/>
                <w:sz w:val="24"/>
              </w:rPr>
            </w:pPr>
            <w:r>
              <w:rPr>
                <w:rFonts w:hint="eastAsia" w:ascii="宋体" w:hAnsi="宋体"/>
                <w:bCs/>
                <w:sz w:val="24"/>
                <w:lang w:val="en-US" w:eastAsia="zh-CN"/>
              </w:rPr>
              <w:t>4</w:t>
            </w:r>
            <w:r>
              <w:rPr>
                <w:rFonts w:hint="default" w:ascii="宋体" w:hAnsi="宋体"/>
                <w:bCs/>
                <w:sz w:val="24"/>
              </w:rPr>
              <w:t>、【查询-004】高管您好，请问您如何看待行业未来的发展前景？谢谢。</w:t>
            </w:r>
          </w:p>
          <w:p>
            <w:pPr>
              <w:spacing w:line="420" w:lineRule="exact"/>
              <w:ind w:firstLine="480" w:firstLineChars="200"/>
              <w:rPr>
                <w:rFonts w:hint="default" w:ascii="宋体" w:hAnsi="宋体"/>
                <w:bCs/>
                <w:sz w:val="24"/>
              </w:rPr>
            </w:pPr>
            <w:r>
              <w:rPr>
                <w:rFonts w:hint="default" w:ascii="宋体" w:hAnsi="宋体"/>
                <w:bCs/>
                <w:sz w:val="24"/>
              </w:rPr>
              <w:t>您好！《海南省“十四五”综合交通运输规划》指出，推动基础设施网络更高质量发展，到2025年，力争全省交通基础设施建设投资五年累计突破2200亿元。随着海南自由贸易港封关在即，G98环岛高速公路大三亚段扩容工程等项目陆续开工，将为公司发展公路代建、管养、检测、交通材料等业务提供广阔的市场，助力公司加快构建交通运输综合产业体系。感谢关注！</w:t>
            </w:r>
          </w:p>
          <w:p>
            <w:pPr>
              <w:spacing w:line="420" w:lineRule="exact"/>
              <w:ind w:firstLine="480" w:firstLineChars="200"/>
              <w:rPr>
                <w:rFonts w:hint="default" w:ascii="宋体" w:hAnsi="宋体"/>
                <w:bCs/>
                <w:sz w:val="24"/>
              </w:rPr>
            </w:pPr>
            <w:r>
              <w:rPr>
                <w:rFonts w:hint="eastAsia" w:ascii="宋体" w:hAnsi="宋体"/>
                <w:bCs/>
                <w:sz w:val="24"/>
                <w:lang w:val="en-US" w:eastAsia="zh-CN"/>
              </w:rPr>
              <w:t>5</w:t>
            </w:r>
            <w:r>
              <w:rPr>
                <w:rFonts w:hint="default" w:ascii="宋体" w:hAnsi="宋体"/>
                <w:bCs/>
                <w:sz w:val="24"/>
              </w:rPr>
              <w:t>、请问陈泰锋董事长，海南交投有那些优质资产可以注入到海南高速，大概注入时间！</w:t>
            </w:r>
          </w:p>
          <w:p>
            <w:pPr>
              <w:spacing w:line="420" w:lineRule="exact"/>
              <w:ind w:firstLine="480" w:firstLineChars="200"/>
              <w:rPr>
                <w:rFonts w:hint="default" w:ascii="宋体" w:hAnsi="宋体"/>
                <w:bCs/>
                <w:sz w:val="24"/>
              </w:rPr>
            </w:pPr>
            <w:r>
              <w:rPr>
                <w:rFonts w:hint="default" w:ascii="宋体" w:hAnsi="宋体"/>
                <w:bCs/>
                <w:sz w:val="24"/>
              </w:rPr>
              <w:t>您好！海南交投重组完成后，公司将加强与其协同发展，构建现代综合交通运输体系，全力打造科技型综合交通服务集团。敬请持续关注公司披露的定期报告或临时公告。感谢关注！</w:t>
            </w:r>
          </w:p>
          <w:p>
            <w:pPr>
              <w:spacing w:line="420" w:lineRule="exact"/>
              <w:ind w:firstLine="480" w:firstLineChars="200"/>
              <w:rPr>
                <w:rFonts w:hint="default" w:ascii="宋体" w:hAnsi="宋体"/>
                <w:bCs/>
                <w:sz w:val="24"/>
              </w:rPr>
            </w:pPr>
            <w:r>
              <w:rPr>
                <w:rFonts w:hint="eastAsia" w:ascii="宋体" w:hAnsi="宋体"/>
                <w:bCs/>
                <w:sz w:val="24"/>
                <w:lang w:val="en-US" w:eastAsia="zh-CN"/>
              </w:rPr>
              <w:t>6</w:t>
            </w:r>
            <w:r>
              <w:rPr>
                <w:rFonts w:hint="default" w:ascii="宋体" w:hAnsi="宋体"/>
                <w:bCs/>
                <w:sz w:val="24"/>
              </w:rPr>
              <w:t>、请问陈泰锋董事长，2025年公司利润增长点在那里？</w:t>
            </w:r>
          </w:p>
          <w:p>
            <w:pPr>
              <w:spacing w:line="420" w:lineRule="exact"/>
              <w:ind w:firstLine="480" w:firstLineChars="200"/>
              <w:rPr>
                <w:rFonts w:hint="default" w:ascii="宋体" w:hAnsi="宋体"/>
                <w:bCs/>
                <w:sz w:val="24"/>
              </w:rPr>
            </w:pPr>
            <w:r>
              <w:rPr>
                <w:rFonts w:hint="default" w:ascii="宋体" w:hAnsi="宋体"/>
                <w:bCs/>
                <w:sz w:val="24"/>
              </w:rPr>
              <w:t>您好！公司将聚焦打造“大交通”产业体系，积极补链强链，提升存量业务质效，多举措推进房地产项目销售、文旅业务开发销售等，持续培育新质生产力，聚焦数字交通，探索“交通+”业务模式，同时全面深化内部改革，堵住经营出血点，不断提高上市公司质量。感谢关注！</w:t>
            </w:r>
          </w:p>
          <w:p>
            <w:pPr>
              <w:spacing w:line="420" w:lineRule="exact"/>
              <w:ind w:firstLine="480" w:firstLineChars="200"/>
              <w:rPr>
                <w:rFonts w:hint="default" w:ascii="宋体" w:hAnsi="宋体"/>
                <w:bCs/>
                <w:sz w:val="24"/>
              </w:rPr>
            </w:pPr>
            <w:r>
              <w:rPr>
                <w:rFonts w:hint="eastAsia" w:ascii="宋体" w:hAnsi="宋体"/>
                <w:bCs/>
                <w:sz w:val="24"/>
                <w:lang w:val="en-US" w:eastAsia="zh-CN"/>
              </w:rPr>
              <w:t>7</w:t>
            </w:r>
            <w:r>
              <w:rPr>
                <w:rFonts w:hint="default" w:ascii="宋体" w:hAnsi="宋体"/>
                <w:bCs/>
                <w:sz w:val="24"/>
              </w:rPr>
              <w:t>、对公司的发展规划有哪些？如何做好公司的市值管理，提升公司的盈利能力。</w:t>
            </w:r>
          </w:p>
          <w:p>
            <w:pPr>
              <w:spacing w:line="420" w:lineRule="exact"/>
              <w:ind w:firstLine="480" w:firstLineChars="200"/>
              <w:rPr>
                <w:rFonts w:hint="default" w:ascii="宋体" w:hAnsi="宋体"/>
                <w:bCs/>
                <w:sz w:val="24"/>
              </w:rPr>
            </w:pPr>
            <w:r>
              <w:rPr>
                <w:rFonts w:hint="default" w:ascii="宋体" w:hAnsi="宋体"/>
                <w:bCs/>
                <w:sz w:val="24"/>
              </w:rPr>
              <w:t>您好！我公司未来将聚焦“大交通”产业体系，全力打造科技型综合交通集团，大力发展新质生产力，做强做优做大主业，扎实推进企业高质量发展，加强市值管理，实现国有资产保值增值，为投资者创造更多价值。感谢关注！</w:t>
            </w:r>
          </w:p>
          <w:p>
            <w:pPr>
              <w:spacing w:line="420" w:lineRule="exact"/>
              <w:ind w:firstLine="480" w:firstLineChars="200"/>
              <w:rPr>
                <w:rFonts w:hint="default" w:ascii="宋体" w:hAnsi="宋体"/>
                <w:bCs/>
                <w:sz w:val="24"/>
              </w:rPr>
            </w:pPr>
            <w:r>
              <w:rPr>
                <w:rFonts w:hint="default" w:ascii="宋体" w:hAnsi="宋体"/>
                <w:bCs/>
                <w:sz w:val="24"/>
              </w:rPr>
              <w:t>8、请问海南陵水海底智算中心项目运营情况如何？未来有何发展规划？谢谢！</w:t>
            </w:r>
          </w:p>
          <w:p>
            <w:pPr>
              <w:spacing w:line="420" w:lineRule="exact"/>
              <w:ind w:firstLine="480" w:firstLineChars="200"/>
              <w:rPr>
                <w:rFonts w:hint="default" w:ascii="宋体" w:hAnsi="宋体"/>
                <w:bCs/>
                <w:sz w:val="24"/>
              </w:rPr>
            </w:pPr>
            <w:r>
              <w:rPr>
                <w:rFonts w:hint="default" w:ascii="宋体" w:hAnsi="宋体"/>
                <w:bCs/>
                <w:sz w:val="24"/>
              </w:rPr>
              <w:t>您好！公司投资建设的陵水海底智算中心目前运作正常。海底智算中心是公司布局数智化转型的重要投资项目，也是探索“数智交通”新赛道的重点布局。未来公司将充分发挥交通领域的资源优势，研究推进新质生产力，不断提升公司经营质量。感谢关注！</w:t>
            </w:r>
          </w:p>
          <w:p>
            <w:pPr>
              <w:spacing w:line="420" w:lineRule="exact"/>
              <w:ind w:firstLine="480" w:firstLineChars="200"/>
              <w:rPr>
                <w:rFonts w:hint="default" w:ascii="宋体" w:hAnsi="宋体"/>
                <w:bCs/>
                <w:sz w:val="24"/>
              </w:rPr>
            </w:pPr>
            <w:r>
              <w:rPr>
                <w:rFonts w:hint="eastAsia" w:ascii="宋体" w:hAnsi="宋体"/>
                <w:bCs/>
                <w:sz w:val="24"/>
                <w:lang w:val="en-US" w:eastAsia="zh-CN"/>
              </w:rPr>
              <w:t>9</w:t>
            </w:r>
            <w:r>
              <w:rPr>
                <w:rFonts w:hint="default" w:ascii="宋体" w:hAnsi="宋体"/>
                <w:bCs/>
                <w:sz w:val="24"/>
              </w:rPr>
              <w:t>、请问琼海嘉浪雅居项目建设进度如何，商品房可售面积、预估货值为多少？截至目前销售去化情况如何？</w:t>
            </w:r>
          </w:p>
          <w:p>
            <w:pPr>
              <w:spacing w:line="420" w:lineRule="exact"/>
              <w:ind w:firstLine="480" w:firstLineChars="200"/>
              <w:rPr>
                <w:rFonts w:hint="default" w:ascii="宋体" w:hAnsi="宋体"/>
                <w:bCs/>
                <w:sz w:val="24"/>
              </w:rPr>
            </w:pPr>
            <w:r>
              <w:rPr>
                <w:rFonts w:hint="default" w:ascii="宋体" w:hAnsi="宋体"/>
                <w:bCs/>
                <w:sz w:val="24"/>
              </w:rPr>
              <w:t>您好！琼海嘉浪雅居项目可售面积为9.48万平米，已于2025年2月开盘销售，具体情况详见公司后续定期报告。感谢关注！</w:t>
            </w:r>
          </w:p>
          <w:p>
            <w:pPr>
              <w:spacing w:line="420" w:lineRule="exact"/>
              <w:ind w:firstLine="480" w:firstLineChars="200"/>
              <w:rPr>
                <w:rFonts w:hint="default" w:ascii="宋体" w:hAnsi="宋体"/>
                <w:bCs/>
                <w:sz w:val="24"/>
              </w:rPr>
            </w:pPr>
            <w:r>
              <w:rPr>
                <w:rFonts w:hint="eastAsia" w:ascii="宋体" w:hAnsi="宋体"/>
                <w:bCs/>
                <w:sz w:val="24"/>
                <w:lang w:val="en-US" w:eastAsia="zh-CN"/>
              </w:rPr>
              <w:t>1</w:t>
            </w:r>
            <w:r>
              <w:rPr>
                <w:rFonts w:hint="default" w:ascii="宋体" w:hAnsi="宋体"/>
                <w:bCs/>
                <w:sz w:val="24"/>
              </w:rPr>
              <w:t>0、请问截至目前公司在低空经济方面有何筹备，未来将有何布局，具体经营模式是什么？</w:t>
            </w:r>
          </w:p>
          <w:p>
            <w:pPr>
              <w:spacing w:line="420" w:lineRule="exact"/>
              <w:ind w:firstLine="480" w:firstLineChars="200"/>
              <w:rPr>
                <w:rFonts w:hint="default" w:ascii="宋体" w:hAnsi="宋体"/>
                <w:bCs/>
                <w:sz w:val="24"/>
              </w:rPr>
            </w:pPr>
            <w:r>
              <w:rPr>
                <w:rFonts w:hint="default" w:ascii="宋体" w:hAnsi="宋体"/>
                <w:bCs/>
                <w:sz w:val="24"/>
              </w:rPr>
              <w:t>您好！公司聚焦打造“大交通”产业体系，目前正考察低空经济相关产业项目，积极寻求战略合作，探索“交通+低空”布局。感谢关注！</w:t>
            </w:r>
          </w:p>
          <w:p>
            <w:pPr>
              <w:spacing w:line="420" w:lineRule="exact"/>
              <w:ind w:firstLine="480" w:firstLineChars="200"/>
              <w:rPr>
                <w:rFonts w:hint="default" w:ascii="宋体" w:hAnsi="宋体"/>
                <w:bCs/>
                <w:sz w:val="24"/>
              </w:rPr>
            </w:pPr>
            <w:r>
              <w:rPr>
                <w:rFonts w:hint="eastAsia" w:ascii="宋体" w:hAnsi="宋体"/>
                <w:bCs/>
                <w:sz w:val="24"/>
                <w:lang w:val="en-US" w:eastAsia="zh-CN"/>
              </w:rPr>
              <w:t>11</w:t>
            </w:r>
            <w:r>
              <w:rPr>
                <w:rFonts w:hint="default" w:ascii="宋体" w:hAnsi="宋体"/>
                <w:bCs/>
                <w:sz w:val="24"/>
              </w:rPr>
              <w:t>、请问董事长：海高是沪深股市第一只上市的高速路公司，现在又成了沪深股市第一只搞车路云一体化建设的公司。请问车路云一体化建设能给公司带来哪些方面的收益？能否成为带动公司健康持续发展的主营业务？另外，公司去年提出的新能源业务和低空经济业务至今还没有看见有相关项目落地，是不是这两块业务放弃了？</w:t>
            </w:r>
          </w:p>
          <w:p>
            <w:pPr>
              <w:spacing w:line="420" w:lineRule="exact"/>
              <w:ind w:firstLine="480" w:firstLineChars="200"/>
              <w:rPr>
                <w:rFonts w:hint="default" w:ascii="宋体" w:hAnsi="宋体"/>
                <w:bCs/>
                <w:sz w:val="24"/>
              </w:rPr>
            </w:pPr>
            <w:r>
              <w:rPr>
                <w:rFonts w:hint="default" w:ascii="宋体" w:hAnsi="宋体"/>
                <w:bCs/>
                <w:sz w:val="24"/>
              </w:rPr>
              <w:t>您好！公司作为海南省智能网联汽车“车路云一体化”应用试点示范项目的承建单位，正持续通过强化顶层设计和统筹谋划，创新管理和协作机制，集中调研和探索商业化条件，以及积极开展阶段性应用落地等措施稳步推进项目建设。同时，公司将加强与控股股东海南省交通投资控股有限公司协同发展，充分发挥交通领域的资源优势，持续探索新能源及低空经济等“交通+”等新质生产力，为公司业务发展寻找新动能！感谢关注。</w:t>
            </w:r>
          </w:p>
          <w:p>
            <w:pPr>
              <w:spacing w:line="420" w:lineRule="exact"/>
              <w:ind w:firstLine="480" w:firstLineChars="200"/>
              <w:rPr>
                <w:rFonts w:hint="default" w:ascii="宋体" w:hAnsi="宋体"/>
                <w:bCs/>
                <w:sz w:val="24"/>
              </w:rPr>
            </w:pPr>
            <w:r>
              <w:rPr>
                <w:rFonts w:hint="default" w:ascii="宋体" w:hAnsi="宋体"/>
                <w:bCs/>
                <w:sz w:val="24"/>
              </w:rPr>
              <w:t>1</w:t>
            </w:r>
            <w:r>
              <w:rPr>
                <w:rFonts w:hint="eastAsia" w:ascii="宋体" w:hAnsi="宋体"/>
                <w:bCs/>
                <w:sz w:val="24"/>
                <w:lang w:val="en-US" w:eastAsia="zh-CN"/>
              </w:rPr>
              <w:t>2</w:t>
            </w:r>
            <w:r>
              <w:rPr>
                <w:rFonts w:hint="default" w:ascii="宋体" w:hAnsi="宋体"/>
                <w:bCs/>
                <w:sz w:val="24"/>
              </w:rPr>
              <w:t>、请问陈董事长：我持有海高股份长达6年了，主要就是看好公司转型发展的前景以及海南自贸港带给公司的机会，但至今只看见点曙光，希望董事长尽快让我们这些“老投资者”看见灿烂的阳光，给我们这么长时间的等待以丰厚回报。</w:t>
            </w:r>
          </w:p>
          <w:p>
            <w:pPr>
              <w:spacing w:line="420" w:lineRule="exact"/>
              <w:ind w:firstLine="480" w:firstLineChars="200"/>
              <w:rPr>
                <w:rFonts w:hint="default" w:ascii="宋体" w:hAnsi="宋体"/>
                <w:bCs/>
                <w:sz w:val="24"/>
              </w:rPr>
            </w:pPr>
            <w:r>
              <w:rPr>
                <w:rFonts w:hint="default" w:ascii="宋体" w:hAnsi="宋体"/>
                <w:bCs/>
                <w:sz w:val="24"/>
              </w:rPr>
              <w:t>尊敬的投资者您好，感谢您长期以来的支持。公司将持续推进高质量发展，努力提升经营业绩，为广大投资者创造更多价值。感谢关注！</w:t>
            </w:r>
          </w:p>
          <w:p>
            <w:pPr>
              <w:pStyle w:val="9"/>
              <w:spacing w:line="460" w:lineRule="exact"/>
              <w:ind w:left="-2" w:leftChars="-1" w:firstLine="480"/>
              <w:rPr>
                <w:rFonts w:hint="default" w:ascii="宋体" w:hAnsi="宋体"/>
                <w:sz w:val="24"/>
                <w:szCs w:val="24"/>
              </w:rPr>
            </w:pPr>
          </w:p>
          <w:p>
            <w:pPr>
              <w:spacing w:before="156" w:beforeLines="50" w:line="240" w:lineRule="auto"/>
              <w:ind w:firstLine="480" w:firstLineChars="200"/>
              <w:rPr>
                <w:rFonts w:hint="default" w:ascii="Times New Roman" w:hAnsi="Times New Roman" w:cs="Times New Roman"/>
                <w:b w:val="0"/>
                <w:bCs/>
                <w:sz w:val="24"/>
                <w:lang w:val="en-US" w:eastAsia="zh-CN"/>
              </w:rPr>
            </w:pPr>
          </w:p>
          <w:p>
            <w:pPr>
              <w:pStyle w:val="9"/>
              <w:spacing w:line="240" w:lineRule="auto"/>
              <w:ind w:left="0" w:leftChars="0" w:firstLine="480" w:firstLineChars="200"/>
              <w:rPr>
                <w:rFonts w:hint="default" w:ascii="Times New Roman" w:hAnsi="Times New Roman" w:eastAsia="宋体" w:cs="Times New Roman"/>
                <w:b w:val="0"/>
                <w:bCs/>
                <w:iCs/>
                <w:color w:val="000000"/>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4" w:type="dxa"/>
            <w:tcBorders>
              <w:top w:val="single" w:color="auto" w:sz="4" w:space="0"/>
              <w:left w:val="single" w:color="auto" w:sz="4" w:space="0"/>
              <w:bottom w:val="single" w:color="auto" w:sz="4" w:space="0"/>
              <w:right w:val="single" w:color="auto" w:sz="4" w:space="0"/>
            </w:tcBorders>
            <w:noWrap w:val="0"/>
            <w:vAlign w:val="center"/>
          </w:tcPr>
          <w:p>
            <w:pPr>
              <w:spacing w:line="420" w:lineRule="exact"/>
              <w:rPr>
                <w:rFonts w:hint="default" w:ascii="Times New Roman" w:hAnsi="Times New Roman" w:eastAsia="宋体" w:cs="Times New Roman"/>
                <w:bCs/>
                <w:iCs/>
                <w:color w:val="000000"/>
                <w:sz w:val="24"/>
                <w:lang w:val="en-US" w:eastAsia="zh-CN"/>
              </w:rPr>
            </w:pPr>
            <w:r>
              <w:rPr>
                <w:rFonts w:hint="eastAsia" w:cs="Times New Roman"/>
                <w:bCs/>
                <w:iCs/>
                <w:color w:val="000000"/>
                <w:sz w:val="24"/>
                <w:lang w:val="en-US" w:eastAsia="zh-CN"/>
              </w:rPr>
              <w:t>关于本次活动是否涉及应披露重大信息的说明</w:t>
            </w:r>
          </w:p>
        </w:tc>
        <w:tc>
          <w:tcPr>
            <w:tcW w:w="7206" w:type="dxa"/>
            <w:tcBorders>
              <w:top w:val="single" w:color="auto" w:sz="4" w:space="0"/>
              <w:left w:val="single" w:color="auto" w:sz="4" w:space="0"/>
              <w:bottom w:val="single" w:color="auto" w:sz="4" w:space="0"/>
              <w:right w:val="single" w:color="auto" w:sz="4" w:space="0"/>
            </w:tcBorders>
            <w:noWrap w:val="0"/>
            <w:vAlign w:val="top"/>
          </w:tcPr>
          <w:p>
            <w:pPr>
              <w:pStyle w:val="9"/>
              <w:spacing w:line="460" w:lineRule="exact"/>
              <w:ind w:left="0" w:leftChars="0" w:firstLine="0" w:firstLineChars="0"/>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本次活动不涉及应披露的重大信息。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4" w:type="dxa"/>
            <w:tcBorders>
              <w:top w:val="single" w:color="auto" w:sz="4" w:space="0"/>
              <w:left w:val="single" w:color="auto" w:sz="4" w:space="0"/>
              <w:bottom w:val="single" w:color="auto" w:sz="4" w:space="0"/>
              <w:right w:val="single" w:color="auto" w:sz="4" w:space="0"/>
            </w:tcBorders>
            <w:noWrap w:val="0"/>
            <w:vAlign w:val="center"/>
          </w:tcPr>
          <w:p>
            <w:pPr>
              <w:spacing w:line="420" w:lineRule="exact"/>
              <w:rPr>
                <w:rFonts w:hint="default" w:ascii="Times New Roman" w:hAnsi="Times New Roman" w:cs="Times New Roman"/>
                <w:bCs/>
                <w:iCs/>
                <w:color w:val="000000"/>
                <w:kern w:val="0"/>
                <w:sz w:val="24"/>
              </w:rPr>
            </w:pPr>
            <w:r>
              <w:rPr>
                <w:rFonts w:hint="default" w:ascii="Times New Roman" w:hAnsi="Times New Roman" w:cs="Times New Roman"/>
                <w:bCs/>
                <w:iCs/>
                <w:color w:val="000000"/>
                <w:kern w:val="0"/>
                <w:sz w:val="24"/>
              </w:rPr>
              <w:t>附件清单（如有）</w:t>
            </w:r>
          </w:p>
        </w:tc>
        <w:tc>
          <w:tcPr>
            <w:tcW w:w="7206" w:type="dxa"/>
            <w:tcBorders>
              <w:top w:val="single" w:color="auto" w:sz="4" w:space="0"/>
              <w:left w:val="single" w:color="auto" w:sz="4" w:space="0"/>
              <w:bottom w:val="single" w:color="auto" w:sz="4" w:space="0"/>
              <w:right w:val="single" w:color="auto" w:sz="4" w:space="0"/>
            </w:tcBorders>
            <w:noWrap w:val="0"/>
            <w:vAlign w:val="top"/>
          </w:tcPr>
          <w:p>
            <w:pPr>
              <w:spacing w:line="420" w:lineRule="exact"/>
              <w:rPr>
                <w:rFonts w:hint="default" w:ascii="Times New Roman" w:hAnsi="Times New Roman" w:eastAsia="宋体" w:cs="Times New Roman"/>
                <w:bCs/>
                <w:iCs/>
                <w:color w:val="000000"/>
                <w:sz w:val="24"/>
                <w:lang w:val="en-US" w:eastAsia="zh-CN"/>
              </w:rPr>
            </w:pPr>
            <w:r>
              <w:rPr>
                <w:rFonts w:hint="default" w:ascii="Times New Roman" w:hAnsi="Times New Roman" w:cs="Times New Roman"/>
                <w:bCs/>
                <w:iCs/>
                <w:color w:val="000000"/>
                <w:sz w:val="24"/>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4" w:type="dxa"/>
            <w:tcBorders>
              <w:top w:val="single" w:color="auto" w:sz="4" w:space="0"/>
              <w:left w:val="single" w:color="auto" w:sz="4" w:space="0"/>
              <w:bottom w:val="single" w:color="auto" w:sz="4" w:space="0"/>
              <w:right w:val="single" w:color="auto" w:sz="4" w:space="0"/>
            </w:tcBorders>
            <w:noWrap w:val="0"/>
            <w:vAlign w:val="center"/>
          </w:tcPr>
          <w:p>
            <w:pPr>
              <w:spacing w:line="420" w:lineRule="exact"/>
              <w:rPr>
                <w:rFonts w:hint="default" w:ascii="Times New Roman" w:hAnsi="Times New Roman" w:cs="Times New Roman"/>
                <w:bCs/>
                <w:iCs/>
                <w:color w:val="000000"/>
                <w:kern w:val="0"/>
                <w:sz w:val="24"/>
              </w:rPr>
            </w:pPr>
            <w:r>
              <w:rPr>
                <w:rFonts w:hint="default" w:ascii="Times New Roman" w:hAnsi="Times New Roman" w:cs="Times New Roman"/>
                <w:bCs/>
                <w:iCs/>
                <w:color w:val="000000"/>
                <w:kern w:val="0"/>
                <w:sz w:val="24"/>
              </w:rPr>
              <w:t>日期</w:t>
            </w:r>
          </w:p>
        </w:tc>
        <w:tc>
          <w:tcPr>
            <w:tcW w:w="7206" w:type="dxa"/>
            <w:tcBorders>
              <w:top w:val="single" w:color="auto" w:sz="4" w:space="0"/>
              <w:left w:val="single" w:color="auto" w:sz="4" w:space="0"/>
              <w:bottom w:val="single" w:color="auto" w:sz="4" w:space="0"/>
              <w:right w:val="single" w:color="auto" w:sz="4" w:space="0"/>
            </w:tcBorders>
            <w:noWrap w:val="0"/>
            <w:vAlign w:val="top"/>
          </w:tcPr>
          <w:p>
            <w:pPr>
              <w:spacing w:line="420" w:lineRule="exact"/>
              <w:rPr>
                <w:rFonts w:hint="default" w:ascii="Times New Roman" w:hAnsi="Times New Roman" w:eastAsia="宋体" w:cs="Times New Roman"/>
                <w:bCs/>
                <w:iCs/>
                <w:color w:val="000000"/>
                <w:sz w:val="24"/>
                <w:lang w:val="en-US" w:eastAsia="zh-CN"/>
              </w:rPr>
            </w:pPr>
            <w:r>
              <w:rPr>
                <w:rFonts w:hint="default" w:ascii="Times New Roman" w:hAnsi="Times New Roman" w:cs="Times New Roman"/>
                <w:bCs/>
                <w:iCs/>
                <w:color w:val="000000"/>
                <w:sz w:val="24"/>
              </w:rPr>
              <w:t>202</w:t>
            </w:r>
            <w:r>
              <w:rPr>
                <w:rFonts w:hint="eastAsia" w:cs="Times New Roman"/>
                <w:bCs/>
                <w:iCs/>
                <w:color w:val="000000"/>
                <w:sz w:val="24"/>
                <w:lang w:val="en-US" w:eastAsia="zh-CN"/>
              </w:rPr>
              <w:t>5</w:t>
            </w:r>
            <w:r>
              <w:rPr>
                <w:rFonts w:hint="default" w:ascii="Times New Roman" w:hAnsi="Times New Roman" w:cs="Times New Roman"/>
                <w:bCs/>
                <w:iCs/>
                <w:color w:val="000000"/>
                <w:sz w:val="24"/>
                <w:lang w:val="en-US" w:eastAsia="zh-CN"/>
              </w:rPr>
              <w:t>年5月</w:t>
            </w:r>
            <w:r>
              <w:rPr>
                <w:rFonts w:hint="eastAsia" w:cs="Times New Roman"/>
                <w:bCs/>
                <w:iCs/>
                <w:color w:val="000000"/>
                <w:sz w:val="24"/>
                <w:lang w:val="en-US" w:eastAsia="zh-CN"/>
              </w:rPr>
              <w:t>13</w:t>
            </w:r>
            <w:r>
              <w:rPr>
                <w:rFonts w:hint="default" w:ascii="Times New Roman" w:hAnsi="Times New Roman" w:cs="Times New Roman"/>
                <w:bCs/>
                <w:iCs/>
                <w:color w:val="000000"/>
                <w:sz w:val="24"/>
                <w:lang w:val="en-US" w:eastAsia="zh-CN"/>
              </w:rPr>
              <w:t>日</w:t>
            </w:r>
          </w:p>
        </w:tc>
      </w:tr>
    </w:tbl>
    <w:p/>
    <w:sectPr>
      <w:headerReference r:id="rId3" w:type="default"/>
      <w:footerReference r:id="rId4"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ZiYmFmNWU5YzI2ZTJiZjA3NTY1YTRjZDBjZDkwZGIifQ=="/>
  </w:docVars>
  <w:rsids>
    <w:rsidRoot w:val="006861C7"/>
    <w:rsid w:val="000268C0"/>
    <w:rsid w:val="000363B5"/>
    <w:rsid w:val="000375D7"/>
    <w:rsid w:val="00043015"/>
    <w:rsid w:val="00046DDE"/>
    <w:rsid w:val="00047EB9"/>
    <w:rsid w:val="00060A74"/>
    <w:rsid w:val="00067110"/>
    <w:rsid w:val="0009298A"/>
    <w:rsid w:val="000A2808"/>
    <w:rsid w:val="000A3BAC"/>
    <w:rsid w:val="000C26FD"/>
    <w:rsid w:val="000C2D85"/>
    <w:rsid w:val="000E5700"/>
    <w:rsid w:val="000F0C4B"/>
    <w:rsid w:val="000F0E22"/>
    <w:rsid w:val="00105A04"/>
    <w:rsid w:val="001169A9"/>
    <w:rsid w:val="00125EB2"/>
    <w:rsid w:val="00142A4C"/>
    <w:rsid w:val="00144279"/>
    <w:rsid w:val="001452FF"/>
    <w:rsid w:val="0016617A"/>
    <w:rsid w:val="00167E99"/>
    <w:rsid w:val="001975AB"/>
    <w:rsid w:val="001A00F5"/>
    <w:rsid w:val="001A1F65"/>
    <w:rsid w:val="001A5CE9"/>
    <w:rsid w:val="001C50AD"/>
    <w:rsid w:val="001D22EE"/>
    <w:rsid w:val="001D4C89"/>
    <w:rsid w:val="001E1838"/>
    <w:rsid w:val="001E3145"/>
    <w:rsid w:val="001E6509"/>
    <w:rsid w:val="001E7968"/>
    <w:rsid w:val="0022180A"/>
    <w:rsid w:val="00223ABC"/>
    <w:rsid w:val="002241B9"/>
    <w:rsid w:val="002274D9"/>
    <w:rsid w:val="0023455A"/>
    <w:rsid w:val="00237994"/>
    <w:rsid w:val="00251D58"/>
    <w:rsid w:val="002530EE"/>
    <w:rsid w:val="002549E6"/>
    <w:rsid w:val="00256602"/>
    <w:rsid w:val="00271C8D"/>
    <w:rsid w:val="00273B53"/>
    <w:rsid w:val="0028080C"/>
    <w:rsid w:val="00295257"/>
    <w:rsid w:val="00297703"/>
    <w:rsid w:val="002A0826"/>
    <w:rsid w:val="002A0984"/>
    <w:rsid w:val="002A589B"/>
    <w:rsid w:val="002B1184"/>
    <w:rsid w:val="002B71B8"/>
    <w:rsid w:val="002B7469"/>
    <w:rsid w:val="002C22C6"/>
    <w:rsid w:val="002C6568"/>
    <w:rsid w:val="002C723B"/>
    <w:rsid w:val="002D39BC"/>
    <w:rsid w:val="002E1B15"/>
    <w:rsid w:val="002E1D3A"/>
    <w:rsid w:val="003005F0"/>
    <w:rsid w:val="003030BF"/>
    <w:rsid w:val="00304F89"/>
    <w:rsid w:val="00306023"/>
    <w:rsid w:val="00327D5D"/>
    <w:rsid w:val="00344914"/>
    <w:rsid w:val="00346917"/>
    <w:rsid w:val="00354A7B"/>
    <w:rsid w:val="00360FDA"/>
    <w:rsid w:val="00363075"/>
    <w:rsid w:val="00367D18"/>
    <w:rsid w:val="00372A1C"/>
    <w:rsid w:val="0037435A"/>
    <w:rsid w:val="00377D8F"/>
    <w:rsid w:val="00383679"/>
    <w:rsid w:val="003A1E68"/>
    <w:rsid w:val="003B0122"/>
    <w:rsid w:val="003B0BE5"/>
    <w:rsid w:val="003D18F1"/>
    <w:rsid w:val="003E001E"/>
    <w:rsid w:val="003F7C4D"/>
    <w:rsid w:val="0040075F"/>
    <w:rsid w:val="00403300"/>
    <w:rsid w:val="004118C0"/>
    <w:rsid w:val="00417A31"/>
    <w:rsid w:val="0042004B"/>
    <w:rsid w:val="00433384"/>
    <w:rsid w:val="0043777D"/>
    <w:rsid w:val="0045767F"/>
    <w:rsid w:val="00463E9B"/>
    <w:rsid w:val="00467414"/>
    <w:rsid w:val="00473F30"/>
    <w:rsid w:val="0048591A"/>
    <w:rsid w:val="00486D86"/>
    <w:rsid w:val="0048721A"/>
    <w:rsid w:val="004A0BD5"/>
    <w:rsid w:val="004A1BBF"/>
    <w:rsid w:val="004A73E5"/>
    <w:rsid w:val="004C19BF"/>
    <w:rsid w:val="004D7640"/>
    <w:rsid w:val="004E1A9B"/>
    <w:rsid w:val="00500AB6"/>
    <w:rsid w:val="005155FB"/>
    <w:rsid w:val="00523907"/>
    <w:rsid w:val="00537C53"/>
    <w:rsid w:val="005438F5"/>
    <w:rsid w:val="00544901"/>
    <w:rsid w:val="005474D3"/>
    <w:rsid w:val="00550737"/>
    <w:rsid w:val="00555DD2"/>
    <w:rsid w:val="00565ED9"/>
    <w:rsid w:val="005760C6"/>
    <w:rsid w:val="00585A1B"/>
    <w:rsid w:val="00591260"/>
    <w:rsid w:val="00591314"/>
    <w:rsid w:val="00593D40"/>
    <w:rsid w:val="00595F1B"/>
    <w:rsid w:val="005A3BE0"/>
    <w:rsid w:val="005B1026"/>
    <w:rsid w:val="005B642F"/>
    <w:rsid w:val="005C04C1"/>
    <w:rsid w:val="005C1785"/>
    <w:rsid w:val="005D2D87"/>
    <w:rsid w:val="005D6A09"/>
    <w:rsid w:val="005E2B4B"/>
    <w:rsid w:val="005E5F63"/>
    <w:rsid w:val="005E6BA1"/>
    <w:rsid w:val="0060779A"/>
    <w:rsid w:val="00622F13"/>
    <w:rsid w:val="00625503"/>
    <w:rsid w:val="0062662D"/>
    <w:rsid w:val="00632E78"/>
    <w:rsid w:val="006344F1"/>
    <w:rsid w:val="00637186"/>
    <w:rsid w:val="00646DF4"/>
    <w:rsid w:val="00651DE6"/>
    <w:rsid w:val="006523BB"/>
    <w:rsid w:val="0065347E"/>
    <w:rsid w:val="00654B49"/>
    <w:rsid w:val="00662505"/>
    <w:rsid w:val="0066674C"/>
    <w:rsid w:val="006760F7"/>
    <w:rsid w:val="006861C7"/>
    <w:rsid w:val="00686DDF"/>
    <w:rsid w:val="00697B12"/>
    <w:rsid w:val="006A55BB"/>
    <w:rsid w:val="006A7613"/>
    <w:rsid w:val="006B661A"/>
    <w:rsid w:val="006B7D00"/>
    <w:rsid w:val="006C6BC5"/>
    <w:rsid w:val="006D61A2"/>
    <w:rsid w:val="006E1DB4"/>
    <w:rsid w:val="00753DB6"/>
    <w:rsid w:val="00763847"/>
    <w:rsid w:val="00771FE3"/>
    <w:rsid w:val="00776BDE"/>
    <w:rsid w:val="00786870"/>
    <w:rsid w:val="00792237"/>
    <w:rsid w:val="0079272A"/>
    <w:rsid w:val="007A1DA9"/>
    <w:rsid w:val="007B2252"/>
    <w:rsid w:val="007B79D9"/>
    <w:rsid w:val="007C67B1"/>
    <w:rsid w:val="007E354A"/>
    <w:rsid w:val="007E69C8"/>
    <w:rsid w:val="0080525B"/>
    <w:rsid w:val="008062C5"/>
    <w:rsid w:val="0080741A"/>
    <w:rsid w:val="00814B5B"/>
    <w:rsid w:val="00836F34"/>
    <w:rsid w:val="00843E73"/>
    <w:rsid w:val="00844EBF"/>
    <w:rsid w:val="00854F61"/>
    <w:rsid w:val="00864202"/>
    <w:rsid w:val="00873B59"/>
    <w:rsid w:val="0087701F"/>
    <w:rsid w:val="0089283D"/>
    <w:rsid w:val="008A0ADC"/>
    <w:rsid w:val="008A1BAB"/>
    <w:rsid w:val="008B38B7"/>
    <w:rsid w:val="008B458E"/>
    <w:rsid w:val="008C4D4A"/>
    <w:rsid w:val="008E11AE"/>
    <w:rsid w:val="008E1708"/>
    <w:rsid w:val="008E4844"/>
    <w:rsid w:val="00904492"/>
    <w:rsid w:val="00904DFB"/>
    <w:rsid w:val="0091457B"/>
    <w:rsid w:val="00923763"/>
    <w:rsid w:val="00930ED6"/>
    <w:rsid w:val="0093293F"/>
    <w:rsid w:val="00933105"/>
    <w:rsid w:val="009474EF"/>
    <w:rsid w:val="00962626"/>
    <w:rsid w:val="009767DD"/>
    <w:rsid w:val="00977AF2"/>
    <w:rsid w:val="00985FC5"/>
    <w:rsid w:val="00993BDD"/>
    <w:rsid w:val="009A6DFB"/>
    <w:rsid w:val="009B6EC0"/>
    <w:rsid w:val="009C7FAF"/>
    <w:rsid w:val="009D4199"/>
    <w:rsid w:val="009E5E6A"/>
    <w:rsid w:val="009F0DD5"/>
    <w:rsid w:val="009F1B95"/>
    <w:rsid w:val="009F6C05"/>
    <w:rsid w:val="00A13CB6"/>
    <w:rsid w:val="00A14A1A"/>
    <w:rsid w:val="00A22CDD"/>
    <w:rsid w:val="00A25AEE"/>
    <w:rsid w:val="00A31EB1"/>
    <w:rsid w:val="00A33AEA"/>
    <w:rsid w:val="00A461CD"/>
    <w:rsid w:val="00A469C5"/>
    <w:rsid w:val="00A5317D"/>
    <w:rsid w:val="00A6284E"/>
    <w:rsid w:val="00A63E81"/>
    <w:rsid w:val="00A8775A"/>
    <w:rsid w:val="00AA5998"/>
    <w:rsid w:val="00AB07E7"/>
    <w:rsid w:val="00AD1BA8"/>
    <w:rsid w:val="00B02A29"/>
    <w:rsid w:val="00B03522"/>
    <w:rsid w:val="00B04AD6"/>
    <w:rsid w:val="00B14CAA"/>
    <w:rsid w:val="00B257CE"/>
    <w:rsid w:val="00B4746C"/>
    <w:rsid w:val="00B65354"/>
    <w:rsid w:val="00B71A0E"/>
    <w:rsid w:val="00B81765"/>
    <w:rsid w:val="00B832F5"/>
    <w:rsid w:val="00BA2FAB"/>
    <w:rsid w:val="00BB5E28"/>
    <w:rsid w:val="00BD15F3"/>
    <w:rsid w:val="00BD7986"/>
    <w:rsid w:val="00BD79D3"/>
    <w:rsid w:val="00C04F82"/>
    <w:rsid w:val="00C15AC0"/>
    <w:rsid w:val="00C26030"/>
    <w:rsid w:val="00C41091"/>
    <w:rsid w:val="00C63056"/>
    <w:rsid w:val="00C661D1"/>
    <w:rsid w:val="00C775BA"/>
    <w:rsid w:val="00C85331"/>
    <w:rsid w:val="00C85A50"/>
    <w:rsid w:val="00C94D46"/>
    <w:rsid w:val="00CA443A"/>
    <w:rsid w:val="00CB2461"/>
    <w:rsid w:val="00CB37FD"/>
    <w:rsid w:val="00CC4D65"/>
    <w:rsid w:val="00CC61E7"/>
    <w:rsid w:val="00CD25AD"/>
    <w:rsid w:val="00CD3FFC"/>
    <w:rsid w:val="00CF565C"/>
    <w:rsid w:val="00D016A3"/>
    <w:rsid w:val="00D512E3"/>
    <w:rsid w:val="00D602C9"/>
    <w:rsid w:val="00DA26A9"/>
    <w:rsid w:val="00DB01FF"/>
    <w:rsid w:val="00DC7778"/>
    <w:rsid w:val="00DE7391"/>
    <w:rsid w:val="00DF2DB5"/>
    <w:rsid w:val="00DF6560"/>
    <w:rsid w:val="00E04CC0"/>
    <w:rsid w:val="00E136FF"/>
    <w:rsid w:val="00E32528"/>
    <w:rsid w:val="00E35F26"/>
    <w:rsid w:val="00E53165"/>
    <w:rsid w:val="00E61EF7"/>
    <w:rsid w:val="00E663B4"/>
    <w:rsid w:val="00E80CEB"/>
    <w:rsid w:val="00EA5103"/>
    <w:rsid w:val="00EA6FB9"/>
    <w:rsid w:val="00EB5E6A"/>
    <w:rsid w:val="00EC2AD7"/>
    <w:rsid w:val="00ED7DE0"/>
    <w:rsid w:val="00EE7891"/>
    <w:rsid w:val="00EF49FE"/>
    <w:rsid w:val="00EF5341"/>
    <w:rsid w:val="00F04908"/>
    <w:rsid w:val="00F07C21"/>
    <w:rsid w:val="00F12EF6"/>
    <w:rsid w:val="00F21065"/>
    <w:rsid w:val="00F24CB4"/>
    <w:rsid w:val="00F43465"/>
    <w:rsid w:val="00F45475"/>
    <w:rsid w:val="00F64E72"/>
    <w:rsid w:val="00F70C7D"/>
    <w:rsid w:val="00F9272E"/>
    <w:rsid w:val="00F97743"/>
    <w:rsid w:val="00FA6DAF"/>
    <w:rsid w:val="00FC6884"/>
    <w:rsid w:val="00FE62F3"/>
    <w:rsid w:val="00FF71D2"/>
    <w:rsid w:val="049D48AC"/>
    <w:rsid w:val="090D306A"/>
    <w:rsid w:val="09C3542C"/>
    <w:rsid w:val="0B835865"/>
    <w:rsid w:val="0CBB2DDD"/>
    <w:rsid w:val="13401CBD"/>
    <w:rsid w:val="149C1AC9"/>
    <w:rsid w:val="16565924"/>
    <w:rsid w:val="17F453F5"/>
    <w:rsid w:val="1A3E181D"/>
    <w:rsid w:val="1B2418A5"/>
    <w:rsid w:val="1C220782"/>
    <w:rsid w:val="1DBF6BA3"/>
    <w:rsid w:val="1FBFC074"/>
    <w:rsid w:val="208C7D8F"/>
    <w:rsid w:val="20A774A8"/>
    <w:rsid w:val="24725269"/>
    <w:rsid w:val="24E95136"/>
    <w:rsid w:val="24F124D0"/>
    <w:rsid w:val="263E265D"/>
    <w:rsid w:val="2C882A5B"/>
    <w:rsid w:val="36FB9E1F"/>
    <w:rsid w:val="373158C6"/>
    <w:rsid w:val="39930B27"/>
    <w:rsid w:val="3BFA3B96"/>
    <w:rsid w:val="3C6109FB"/>
    <w:rsid w:val="3CB925E5"/>
    <w:rsid w:val="3CEF3472"/>
    <w:rsid w:val="3EFF16E9"/>
    <w:rsid w:val="4453331F"/>
    <w:rsid w:val="48AB3B04"/>
    <w:rsid w:val="4B726781"/>
    <w:rsid w:val="4B8B15F1"/>
    <w:rsid w:val="51143E36"/>
    <w:rsid w:val="55CA71B9"/>
    <w:rsid w:val="5A38458A"/>
    <w:rsid w:val="623F3992"/>
    <w:rsid w:val="62B265F7"/>
    <w:rsid w:val="62D11B87"/>
    <w:rsid w:val="64CF16D7"/>
    <w:rsid w:val="71FB277D"/>
    <w:rsid w:val="750556C0"/>
    <w:rsid w:val="77CF73AC"/>
    <w:rsid w:val="78591FAB"/>
    <w:rsid w:val="78FA4ABD"/>
    <w:rsid w:val="78FF0116"/>
    <w:rsid w:val="7F1C7586"/>
    <w:rsid w:val="B7DDD54D"/>
    <w:rsid w:val="E3FFE6ED"/>
    <w:rsid w:val="F5DB8A63"/>
    <w:rsid w:val="F797912E"/>
    <w:rsid w:val="FE7B489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link w:val="13"/>
    <w:qFormat/>
    <w:uiPriority w:val="0"/>
    <w:pPr>
      <w:tabs>
        <w:tab w:val="center" w:pos="4153"/>
        <w:tab w:val="right" w:pos="8306"/>
      </w:tabs>
      <w:snapToGrid w:val="0"/>
      <w:jc w:val="left"/>
    </w:pPr>
    <w:rPr>
      <w:sz w:val="18"/>
      <w:szCs w:val="18"/>
    </w:rPr>
  </w:style>
  <w:style w:type="paragraph" w:styleId="4">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8">
    <w:name w:val="Hyperlink"/>
    <w:basedOn w:val="7"/>
    <w:qFormat/>
    <w:uiPriority w:val="0"/>
    <w:rPr>
      <w:color w:val="0000FF"/>
      <w:u w:val="single"/>
    </w:rPr>
  </w:style>
  <w:style w:type="paragraph" w:customStyle="1" w:styleId="9">
    <w:name w:val="_Style 6"/>
    <w:basedOn w:val="1"/>
    <w:qFormat/>
    <w:uiPriority w:val="34"/>
    <w:pPr>
      <w:ind w:firstLine="420" w:firstLineChars="200"/>
    </w:pPr>
    <w:rPr>
      <w:rFonts w:ascii="Calibri" w:hAnsi="Calibri" w:eastAsia="宋体" w:cs="Times New Roman"/>
      <w:szCs w:val="22"/>
    </w:rPr>
  </w:style>
  <w:style w:type="paragraph" w:customStyle="1" w:styleId="10">
    <w:name w:val="Char Char Char"/>
    <w:basedOn w:val="1"/>
    <w:qFormat/>
    <w:uiPriority w:val="0"/>
    <w:rPr>
      <w:szCs w:val="21"/>
    </w:rPr>
  </w:style>
  <w:style w:type="paragraph" w:customStyle="1" w:styleId="11">
    <w:name w:val="Char Char Char Char Char Char Char Char Char Char Char Char Char Char Char Char"/>
    <w:basedOn w:val="1"/>
    <w:qFormat/>
    <w:uiPriority w:val="0"/>
  </w:style>
  <w:style w:type="paragraph" w:customStyle="1" w:styleId="12">
    <w:name w:val=" Char Char Char"/>
    <w:basedOn w:val="1"/>
    <w:qFormat/>
    <w:uiPriority w:val="0"/>
  </w:style>
  <w:style w:type="character" w:customStyle="1" w:styleId="13">
    <w:name w:val="页脚 Char"/>
    <w:basedOn w:val="7"/>
    <w:link w:val="3"/>
    <w:qFormat/>
    <w:uiPriority w:val="0"/>
    <w:rPr>
      <w:kern w:val="2"/>
      <w:sz w:val="18"/>
      <w:szCs w:val="18"/>
    </w:rPr>
  </w:style>
  <w:style w:type="character" w:customStyle="1" w:styleId="14">
    <w:name w:val="页眉 Char"/>
    <w:basedOn w:val="7"/>
    <w:link w:val="4"/>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Pages>
  <Words>1395</Words>
  <Characters>1477</Characters>
  <Lines>60</Lines>
  <Paragraphs>17</Paragraphs>
  <TotalTime>3</TotalTime>
  <ScaleCrop>false</ScaleCrop>
  <LinksUpToDate>false</LinksUpToDate>
  <CharactersWithSpaces>1598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2012-09-09T08:59:00Z</dcterms:created>
  <dc:creator>微软用户</dc:creator>
  <cp:lastModifiedBy>羊荣良</cp:lastModifiedBy>
  <cp:lastPrinted>2023-05-29T08:34:00Z</cp:lastPrinted>
  <dcterms:modified xsi:type="dcterms:W3CDTF">2025-05-14T02:57:12Z</dcterms:modified>
  <cp:revision>262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5646A21378F54910AA373894A3456033_13</vt:lpwstr>
  </property>
</Properties>
</file>