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2" w:lineRule="atLeast"/>
        <w:ind w:left="0" w:right="0" w:firstLine="0"/>
        <w:jc w:val="left"/>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 xml:space="preserve">证券代码：000886   </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 xml:space="preserve"> </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 xml:space="preserve"> 证券简称：海南高速   </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 xml:space="preserve">  </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公告编号：202</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5</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027</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default" w:ascii="Times New Roman" w:hAnsi="Times New Roman" w:eastAsia="monospace" w:cs="Times New Roman"/>
          <w:b/>
          <w:bCs/>
          <w:i w:val="0"/>
          <w:iCs w:val="0"/>
          <w:caps w:val="0"/>
          <w:color w:val="auto"/>
          <w:spacing w:val="0"/>
          <w:kern w:val="0"/>
          <w:sz w:val="44"/>
          <w:szCs w:val="44"/>
          <w:highlight w:val="none"/>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Times New Roman" w:hAnsi="Times New Roman" w:eastAsia="monospace" w:cs="Times New Roman"/>
          <w:b/>
          <w:bCs/>
          <w:i w:val="0"/>
          <w:iCs w:val="0"/>
          <w:caps w:val="0"/>
          <w:color w:val="auto"/>
          <w:spacing w:val="0"/>
          <w:kern w:val="0"/>
          <w:sz w:val="44"/>
          <w:szCs w:val="44"/>
          <w:highlight w:val="none"/>
          <w:shd w:val="clear" w:fill="FFFFFF"/>
          <w:lang w:val="en-US" w:eastAsia="zh-CN" w:bidi="ar"/>
        </w:rPr>
      </w:pPr>
      <w:r>
        <w:rPr>
          <w:rFonts w:hint="default" w:ascii="Times New Roman" w:hAnsi="Times New Roman" w:eastAsia="monospace" w:cs="Times New Roman"/>
          <w:b/>
          <w:bCs/>
          <w:i w:val="0"/>
          <w:iCs w:val="0"/>
          <w:caps w:val="0"/>
          <w:color w:val="auto"/>
          <w:spacing w:val="0"/>
          <w:kern w:val="0"/>
          <w:sz w:val="44"/>
          <w:szCs w:val="44"/>
          <w:highlight w:val="none"/>
          <w:shd w:val="clear" w:fill="FFFFFF"/>
          <w:lang w:val="en-US" w:eastAsia="zh-CN" w:bidi="ar"/>
        </w:rPr>
        <w:t>海南高速</w:t>
      </w:r>
      <w:r>
        <w:rPr>
          <w:rFonts w:hint="eastAsia" w:ascii="Times New Roman" w:hAnsi="Times New Roman" w:eastAsia="monospace" w:cs="Times New Roman"/>
          <w:b/>
          <w:bCs/>
          <w:i w:val="0"/>
          <w:iCs w:val="0"/>
          <w:caps w:val="0"/>
          <w:color w:val="auto"/>
          <w:spacing w:val="0"/>
          <w:kern w:val="0"/>
          <w:sz w:val="44"/>
          <w:szCs w:val="44"/>
          <w:highlight w:val="none"/>
          <w:shd w:val="clear" w:fill="FFFFFF"/>
          <w:lang w:val="en-US" w:eastAsia="zh-CN" w:bidi="ar"/>
        </w:rPr>
        <w:t>公路</w:t>
      </w:r>
      <w:r>
        <w:rPr>
          <w:rFonts w:hint="default" w:ascii="Times New Roman" w:hAnsi="Times New Roman" w:eastAsia="monospace" w:cs="Times New Roman"/>
          <w:b/>
          <w:bCs/>
          <w:i w:val="0"/>
          <w:iCs w:val="0"/>
          <w:caps w:val="0"/>
          <w:color w:val="auto"/>
          <w:spacing w:val="0"/>
          <w:kern w:val="0"/>
          <w:sz w:val="44"/>
          <w:szCs w:val="44"/>
          <w:highlight w:val="none"/>
          <w:shd w:val="clear" w:fill="FFFFFF"/>
          <w:lang w:val="en-US" w:eastAsia="zh-CN" w:bidi="ar"/>
        </w:rPr>
        <w:t>股份有限公司</w:t>
      </w:r>
      <w:r>
        <w:rPr>
          <w:rFonts w:hint="eastAsia" w:ascii="Times New Roman" w:hAnsi="Times New Roman" w:eastAsia="monospace" w:cs="Times New Roman"/>
          <w:b/>
          <w:bCs/>
          <w:i w:val="0"/>
          <w:iCs w:val="0"/>
          <w:caps w:val="0"/>
          <w:color w:val="auto"/>
          <w:spacing w:val="0"/>
          <w:kern w:val="0"/>
          <w:sz w:val="44"/>
          <w:szCs w:val="44"/>
          <w:highlight w:val="none"/>
          <w:shd w:val="clear" w:fill="FFFFFF"/>
          <w:lang w:val="en-US" w:eastAsia="zh-CN" w:bidi="ar"/>
        </w:rPr>
        <w:t>控股股东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default" w:ascii="Times New Roman" w:hAnsi="Times New Roman" w:eastAsia="monospace" w:cs="Times New Roman"/>
          <w:i w:val="0"/>
          <w:iCs w:val="0"/>
          <w:caps w:val="0"/>
          <w:color w:val="auto"/>
          <w:spacing w:val="0"/>
          <w:kern w:val="0"/>
          <w:sz w:val="44"/>
          <w:szCs w:val="44"/>
          <w:highlight w:val="none"/>
          <w:shd w:val="clear" w:fill="FFFFFF"/>
          <w:lang w:val="en-US" w:eastAsia="zh-CN" w:bidi="ar"/>
        </w:rPr>
      </w:pPr>
      <w:r>
        <w:rPr>
          <w:rFonts w:hint="eastAsia" w:ascii="Times New Roman" w:hAnsi="Times New Roman" w:eastAsia="monospace" w:cs="Times New Roman"/>
          <w:b/>
          <w:bCs/>
          <w:i w:val="0"/>
          <w:iCs w:val="0"/>
          <w:caps w:val="0"/>
          <w:color w:val="auto"/>
          <w:spacing w:val="0"/>
          <w:kern w:val="0"/>
          <w:sz w:val="44"/>
          <w:szCs w:val="44"/>
          <w:highlight w:val="none"/>
          <w:shd w:val="clear" w:fill="FFFFFF"/>
          <w:lang w:val="en-US" w:eastAsia="zh-CN" w:bidi="ar"/>
        </w:rPr>
        <w:t>增持公司股份计划实施完成</w:t>
      </w:r>
      <w:r>
        <w:rPr>
          <w:rFonts w:hint="default" w:ascii="Times New Roman" w:hAnsi="Times New Roman" w:eastAsia="monospace" w:cs="Times New Roman"/>
          <w:b/>
          <w:bCs/>
          <w:i w:val="0"/>
          <w:iCs w:val="0"/>
          <w:caps w:val="0"/>
          <w:color w:val="auto"/>
          <w:spacing w:val="0"/>
          <w:kern w:val="0"/>
          <w:sz w:val="44"/>
          <w:szCs w:val="44"/>
          <w:highlight w:val="none"/>
          <w:shd w:val="clear" w:fill="FFFFFF"/>
          <w:lang w:val="en-US" w:eastAsia="zh-CN" w:bidi="ar"/>
        </w:rPr>
        <w:t>的公告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left"/>
        <w:textAlignment w:val="auto"/>
        <w:rPr>
          <w:rFonts w:hint="default" w:ascii="Times New Roman" w:hAnsi="Times New Roman" w:eastAsia="宋体" w:cs="Times New Roman"/>
          <w:b/>
          <w:bCs/>
          <w:i w:val="0"/>
          <w:iCs w:val="0"/>
          <w:caps w:val="0"/>
          <w:color w:val="auto"/>
          <w:spacing w:val="0"/>
          <w:kern w:val="0"/>
          <w:sz w:val="32"/>
          <w:szCs w:val="32"/>
          <w:highlight w:val="none"/>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left"/>
        <w:textAlignment w:val="auto"/>
        <w:rPr>
          <w:rFonts w:hint="default" w:ascii="Times New Roman" w:hAnsi="Times New Roman" w:eastAsia="宋体" w:cs="Times New Roman"/>
          <w:b/>
          <w:bCs/>
          <w:i w:val="0"/>
          <w:iCs w:val="0"/>
          <w:caps w:val="0"/>
          <w:color w:val="auto"/>
          <w:spacing w:val="0"/>
          <w:kern w:val="0"/>
          <w:sz w:val="32"/>
          <w:szCs w:val="32"/>
          <w:highlight w:val="none"/>
          <w:shd w:val="clear" w:fill="FFFFFF"/>
          <w:lang w:val="en-US" w:eastAsia="zh-CN" w:bidi="ar"/>
        </w:rPr>
      </w:pPr>
      <w:r>
        <w:rPr>
          <w:rFonts w:hint="eastAsia" w:ascii="Times New Roman" w:hAnsi="Times New Roman" w:eastAsia="宋体" w:cs="Times New Roman"/>
          <w:b/>
          <w:bCs/>
          <w:color w:val="auto"/>
          <w:kern w:val="0"/>
          <w:sz w:val="32"/>
          <w:szCs w:val="32"/>
          <w:highlight w:val="none"/>
          <w:shd w:val="clear" w:fill="FFFFFF"/>
          <w:lang w:val="en-US" w:eastAsia="zh-CN" w:bidi="ar"/>
        </w:rPr>
        <w:t>控股</w:t>
      </w:r>
      <w:r>
        <w:rPr>
          <w:rFonts w:hint="eastAsia" w:ascii="Times New Roman" w:hAnsi="Times New Roman" w:eastAsia="宋体" w:cs="Times New Roman"/>
          <w:b/>
          <w:bCs/>
          <w:i w:val="0"/>
          <w:iCs w:val="0"/>
          <w:caps w:val="0"/>
          <w:color w:val="auto"/>
          <w:spacing w:val="0"/>
          <w:kern w:val="0"/>
          <w:sz w:val="32"/>
          <w:szCs w:val="32"/>
          <w:highlight w:val="none"/>
          <w:shd w:val="clear" w:fill="FFFFFF"/>
          <w:lang w:val="en-US" w:eastAsia="zh-CN" w:bidi="ar"/>
        </w:rPr>
        <w:t>股东海南省交通投资控股有限公司保证向本公司提供的信息内容真实、准确、完整，没有虚假记载、误导性陈述或重大遗漏。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left"/>
        <w:textAlignment w:val="auto"/>
        <w:rPr>
          <w:rFonts w:hint="default" w:ascii="Times New Roman" w:hAnsi="Times New Roman" w:eastAsia="宋体" w:cs="Times New Roman"/>
          <w:b/>
          <w:bCs/>
          <w:i w:val="0"/>
          <w:iCs w:val="0"/>
          <w:caps w:val="0"/>
          <w:color w:val="auto"/>
          <w:spacing w:val="0"/>
          <w:kern w:val="0"/>
          <w:sz w:val="32"/>
          <w:szCs w:val="32"/>
          <w:highlight w:val="none"/>
          <w:shd w:val="clear" w:fill="FFFFFF"/>
          <w:lang w:val="en-US" w:eastAsia="zh-CN" w:bidi="ar"/>
        </w:rPr>
      </w:pPr>
      <w:r>
        <w:rPr>
          <w:rFonts w:hint="default" w:ascii="Times New Roman" w:hAnsi="Times New Roman" w:eastAsia="宋体" w:cs="Times New Roman"/>
          <w:b/>
          <w:bCs/>
          <w:i w:val="0"/>
          <w:iCs w:val="0"/>
          <w:caps w:val="0"/>
          <w:color w:val="auto"/>
          <w:spacing w:val="0"/>
          <w:kern w:val="0"/>
          <w:sz w:val="32"/>
          <w:szCs w:val="32"/>
          <w:highlight w:val="none"/>
          <w:shd w:val="clear" w:fill="FFFFFF"/>
          <w:lang w:val="en-US" w:eastAsia="zh-CN" w:bidi="ar"/>
        </w:rPr>
        <w:t>本公司及董事会全体成员保证</w:t>
      </w:r>
      <w:r>
        <w:rPr>
          <w:rFonts w:hint="eastAsia" w:ascii="Times New Roman" w:hAnsi="Times New Roman" w:eastAsia="宋体" w:cs="Times New Roman"/>
          <w:b/>
          <w:bCs/>
          <w:i w:val="0"/>
          <w:iCs w:val="0"/>
          <w:caps w:val="0"/>
          <w:color w:val="auto"/>
          <w:spacing w:val="0"/>
          <w:kern w:val="0"/>
          <w:sz w:val="32"/>
          <w:szCs w:val="32"/>
          <w:highlight w:val="none"/>
          <w:shd w:val="clear" w:fill="FFFFFF"/>
          <w:lang w:val="en-US" w:eastAsia="zh-CN" w:bidi="ar"/>
        </w:rPr>
        <w:t>公告内容与信息披露义务人提供的信息一致</w:t>
      </w:r>
      <w:r>
        <w:rPr>
          <w:rFonts w:hint="default" w:ascii="Times New Roman" w:hAnsi="Times New Roman" w:eastAsia="宋体" w:cs="Times New Roman"/>
          <w:b/>
          <w:bCs/>
          <w:i w:val="0"/>
          <w:iCs w:val="0"/>
          <w:caps w:val="0"/>
          <w:color w:val="auto"/>
          <w:spacing w:val="0"/>
          <w:kern w:val="0"/>
          <w:sz w:val="32"/>
          <w:szCs w:val="32"/>
          <w:highlight w:val="none"/>
          <w:shd w:val="clear" w:fill="FFFFFF"/>
          <w:lang w:val="en-US" w:eastAsia="zh-CN" w:bidi="ar"/>
        </w:rPr>
        <w:t>。</w:t>
      </w:r>
    </w:p>
    <w:p>
      <w:pPr>
        <w:pStyle w:val="2"/>
        <w:rPr>
          <w:rFonts w:hint="eastAsia" w:ascii="Times New Roman" w:hAnsi="Times New Roman" w:eastAsia="宋体" w:cs="Times New Roman"/>
          <w:b/>
          <w:bCs/>
          <w:i w:val="0"/>
          <w:iCs w:val="0"/>
          <w:caps w:val="0"/>
          <w:color w:val="auto"/>
          <w:spacing w:val="0"/>
          <w:kern w:val="0"/>
          <w:sz w:val="28"/>
          <w:szCs w:val="28"/>
          <w:highlight w:val="none"/>
          <w:shd w:val="clear" w:fill="FFFFFF"/>
          <w:lang w:val="en-US" w:eastAsia="zh-CN" w:bidi="ar"/>
        </w:rPr>
      </w:pPr>
    </w:p>
    <w:p>
      <w:pPr>
        <w:pStyle w:val="2"/>
        <w:ind w:firstLine="562" w:firstLineChars="200"/>
        <w:rPr>
          <w:color w:val="auto"/>
          <w:highlight w:val="none"/>
        </w:rPr>
      </w:pPr>
      <w:r>
        <w:rPr>
          <w:rFonts w:hint="eastAsia" w:ascii="Times New Roman" w:hAnsi="Times New Roman" w:eastAsia="宋体" w:cs="Times New Roman"/>
          <w:b/>
          <w:bCs/>
          <w:i w:val="0"/>
          <w:iCs w:val="0"/>
          <w:caps w:val="0"/>
          <w:color w:val="auto"/>
          <w:spacing w:val="0"/>
          <w:kern w:val="0"/>
          <w:sz w:val="28"/>
          <w:szCs w:val="28"/>
          <w:highlight w:val="none"/>
          <w:shd w:val="clear" w:fill="FFFFFF"/>
          <w:lang w:val="en-US" w:eastAsia="zh-CN" w:bidi="ar"/>
        </w:rPr>
        <w:t>重要内容提示：</w:t>
      </w:r>
    </w:p>
    <w:p>
      <w:pPr>
        <w:pStyle w:val="2"/>
        <w:numPr>
          <w:ilvl w:val="0"/>
          <w:numId w:val="1"/>
        </w:numPr>
        <w:rPr>
          <w:rFonts w:hint="eastAsia" w:ascii="Times New Roman" w:hAnsi="Times New Roman" w:eastAsia="宋体" w:cs="Times New Roman"/>
          <w:color w:val="auto"/>
          <w:kern w:val="0"/>
          <w:sz w:val="28"/>
          <w:szCs w:val="28"/>
          <w:highlight w:val="none"/>
          <w:shd w:val="clear" w:fill="FFFFFF"/>
          <w:lang w:val="en-US" w:eastAsia="zh-CN" w:bidi="ar"/>
        </w:rPr>
      </w:pPr>
      <w:r>
        <w:rPr>
          <w:rFonts w:hint="eastAsia" w:ascii="Times New Roman" w:hAnsi="Times New Roman" w:eastAsia="宋体" w:cs="Times New Roman"/>
          <w:color w:val="auto"/>
          <w:kern w:val="0"/>
          <w:sz w:val="28"/>
          <w:szCs w:val="28"/>
          <w:highlight w:val="none"/>
          <w:shd w:val="clear" w:fill="FFFFFF"/>
          <w:lang w:val="en-US" w:eastAsia="zh-CN" w:bidi="ar"/>
        </w:rPr>
        <w:t>海南高速公路股份有限公司（以下简称“公司”）于2025年4月30日披露了《关于控股股东以专项贷款和自有资金拟增持公司股份计划暨取得专项贷款承诺函的公告》（公告编号：2025-020），公司控股股东海南省交通投资控股有限公司（以下简称“海南交投”）拟采用集中竞价方式，以银行信贷资金和自有资金择机增持公司股份，增持金额为4000万元至4500万元。</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560" w:firstLineChars="200"/>
        <w:jc w:val="left"/>
        <w:textAlignment w:val="auto"/>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color w:val="auto"/>
          <w:kern w:val="0"/>
          <w:sz w:val="28"/>
          <w:szCs w:val="28"/>
          <w:highlight w:val="none"/>
          <w:shd w:val="clear" w:fill="FFFFFF"/>
          <w:lang w:val="en-US" w:eastAsia="zh-CN" w:bidi="ar"/>
        </w:rPr>
        <w:t>截至本公告披露日，海南交投通过深圳证券交易所交易系统，以集中竞价方式累计增持公司股份7,476,200股，占公司总股本的0.756%，累计增持股份金额44,990,736.00元。本次增持后，海南交投及其一致行动人海南交控股权投资基金管理有限公司（以下简称“海南交投基金”）合计持有公司股份264,192,239股，占公司总股本的比例为26.72%。本次增持计划已提前实施完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560" w:firstLineChars="200"/>
        <w:jc w:val="left"/>
        <w:textAlignment w:val="auto"/>
        <w:rPr>
          <w:rFonts w:hint="eastAsia" w:ascii="宋体" w:hAnsi="宋体" w:eastAsia="宋体" w:cs="宋体"/>
          <w:b/>
          <w:bCs/>
          <w:i w:val="0"/>
          <w:iCs w:val="0"/>
          <w:caps w:val="0"/>
          <w:color w:val="auto"/>
          <w:spacing w:val="0"/>
          <w:kern w:val="0"/>
          <w:sz w:val="28"/>
          <w:szCs w:val="28"/>
          <w:highlight w:val="none"/>
          <w:shd w:val="clear" w:fill="FFFFFF"/>
          <w:lang w:val="en-US" w:eastAsia="zh-CN" w:bidi="ar"/>
        </w:rPr>
      </w:pPr>
      <w:r>
        <w:rPr>
          <w:rFonts w:hint="default" w:ascii="Times New Roman" w:hAnsi="Times New Roman" w:eastAsia="宋体" w:cs="Times New Roman"/>
          <w:i w:val="0"/>
          <w:iCs w:val="0"/>
          <w:caps w:val="0"/>
          <w:color w:val="auto"/>
          <w:spacing w:val="0"/>
          <w:sz w:val="28"/>
          <w:szCs w:val="28"/>
          <w:highlight w:val="none"/>
          <w:shd w:val="clear" w:fill="FFFFFF"/>
        </w:rPr>
        <w:t>2025年</w:t>
      </w:r>
      <w:r>
        <w:rPr>
          <w:rFonts w:hint="default" w:ascii="Times New Roman" w:hAnsi="Times New Roman" w:eastAsia="宋体" w:cs="Times New Roman"/>
          <w:i w:val="0"/>
          <w:iCs w:val="0"/>
          <w:caps w:val="0"/>
          <w:color w:val="auto"/>
          <w:spacing w:val="0"/>
          <w:sz w:val="28"/>
          <w:szCs w:val="28"/>
          <w:highlight w:val="none"/>
          <w:shd w:val="clear" w:fill="FFFFFF"/>
          <w:lang w:val="en-US" w:eastAsia="zh-CN"/>
        </w:rPr>
        <w:t>6</w:t>
      </w:r>
      <w:r>
        <w:rPr>
          <w:rFonts w:hint="default" w:ascii="Times New Roman" w:hAnsi="Times New Roman" w:eastAsia="宋体" w:cs="Times New Roman"/>
          <w:i w:val="0"/>
          <w:iCs w:val="0"/>
          <w:caps w:val="0"/>
          <w:color w:val="auto"/>
          <w:spacing w:val="0"/>
          <w:sz w:val="28"/>
          <w:szCs w:val="28"/>
          <w:highlight w:val="none"/>
          <w:shd w:val="clear" w:fill="FFFFFF"/>
        </w:rPr>
        <w:t>月</w:t>
      </w:r>
      <w:r>
        <w:rPr>
          <w:rFonts w:hint="default" w:ascii="Times New Roman" w:hAnsi="Times New Roman" w:eastAsia="宋体" w:cs="Times New Roman"/>
          <w:i w:val="0"/>
          <w:iCs w:val="0"/>
          <w:caps w:val="0"/>
          <w:color w:val="auto"/>
          <w:spacing w:val="0"/>
          <w:sz w:val="28"/>
          <w:szCs w:val="28"/>
          <w:highlight w:val="none"/>
          <w:shd w:val="clear" w:fill="FFFFFF"/>
          <w:lang w:val="en-US" w:eastAsia="zh-CN"/>
        </w:rPr>
        <w:t>17</w:t>
      </w:r>
      <w:r>
        <w:rPr>
          <w:rFonts w:hint="default" w:ascii="Times New Roman" w:hAnsi="Times New Roman" w:eastAsia="宋体" w:cs="Times New Roman"/>
          <w:i w:val="0"/>
          <w:iCs w:val="0"/>
          <w:caps w:val="0"/>
          <w:color w:val="auto"/>
          <w:spacing w:val="0"/>
          <w:sz w:val="28"/>
          <w:szCs w:val="28"/>
          <w:highlight w:val="none"/>
          <w:shd w:val="clear" w:fill="FFFFFF"/>
        </w:rPr>
        <w:t>日，公司</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收到控股股东海南交投出具的《关于增持海南高速公路股份有限公司股份计划实施完毕的告知函》</w:t>
      </w:r>
      <w:r>
        <w:rPr>
          <w:rFonts w:hint="default" w:ascii="Times New Roman" w:hAnsi="Times New Roman" w:eastAsia="宋体" w:cs="Times New Roman"/>
          <w:i w:val="0"/>
          <w:iCs w:val="0"/>
          <w:caps w:val="0"/>
          <w:color w:val="auto"/>
          <w:spacing w:val="0"/>
          <w:sz w:val="28"/>
          <w:szCs w:val="28"/>
          <w:highlight w:val="none"/>
          <w:shd w:val="clear" w:fill="FFFFFF"/>
        </w:rPr>
        <w:t>，现将相关情况公告如下。</w:t>
      </w:r>
    </w:p>
    <w:p>
      <w:pPr>
        <w:pStyle w:val="2"/>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b/>
          <w:bCs/>
          <w:i w:val="0"/>
          <w:iCs w:val="0"/>
          <w:caps w:val="0"/>
          <w:color w:val="auto"/>
          <w:spacing w:val="0"/>
          <w:kern w:val="0"/>
          <w:sz w:val="28"/>
          <w:szCs w:val="28"/>
          <w:highlight w:val="none"/>
          <w:shd w:val="clear" w:fill="FFFFFF"/>
          <w:lang w:val="en-US" w:eastAsia="zh-CN" w:bidi="ar"/>
        </w:rPr>
        <w:t>一</w:t>
      </w:r>
      <w:r>
        <w:rPr>
          <w:rFonts w:hint="default" w:ascii="Times New Roman" w:hAnsi="Times New Roman" w:eastAsia="宋体" w:cs="Times New Roman"/>
          <w:b/>
          <w:bCs/>
          <w:i w:val="0"/>
          <w:iCs w:val="0"/>
          <w:caps w:val="0"/>
          <w:color w:val="auto"/>
          <w:spacing w:val="0"/>
          <w:kern w:val="0"/>
          <w:sz w:val="28"/>
          <w:szCs w:val="28"/>
          <w:highlight w:val="none"/>
          <w:shd w:val="clear" w:fill="FFFFFF"/>
          <w:lang w:val="en-US" w:eastAsia="zh-CN" w:bidi="ar"/>
        </w:rPr>
        <w:t>、</w:t>
      </w:r>
      <w:r>
        <w:rPr>
          <w:rFonts w:hint="eastAsia" w:ascii="Times New Roman" w:hAnsi="Times New Roman" w:eastAsia="宋体" w:cs="Times New Roman"/>
          <w:b/>
          <w:bCs/>
          <w:i w:val="0"/>
          <w:iCs w:val="0"/>
          <w:caps w:val="0"/>
          <w:color w:val="auto"/>
          <w:spacing w:val="0"/>
          <w:kern w:val="0"/>
          <w:sz w:val="28"/>
          <w:szCs w:val="28"/>
          <w:highlight w:val="none"/>
          <w:shd w:val="clear" w:fill="FFFFFF"/>
          <w:lang w:val="en-US" w:eastAsia="zh-CN" w:bidi="ar"/>
        </w:rPr>
        <w:t>本次增持计划的基本情况</w:t>
      </w:r>
    </w:p>
    <w:p>
      <w:pPr>
        <w:pStyle w:val="2"/>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1、增持主体：海南省交通投资控股有限公司</w:t>
      </w:r>
    </w:p>
    <w:p>
      <w:pPr>
        <w:pStyle w:val="2"/>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2、本次增持计划前，海南交投持有公司股份 251,036,039股，占公司总股本的25.39%，为公司第一大股东、控股股东。海南交投基金为海南交投的一致行动人，持有公司5,680,000股，占公司总股本的0.57%，合计持有公司256,716,039股，占公司总股本的25.96%。</w:t>
      </w:r>
    </w:p>
    <w:p>
      <w:pPr>
        <w:pStyle w:val="2"/>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3、本次增持计划首次公告前12个月内，海南交投</w:t>
      </w:r>
      <w:r>
        <w:rPr>
          <w:rFonts w:hint="eastAsia" w:ascii="Times New Roman" w:hAnsi="Times New Roman" w:eastAsia="宋体" w:cs="Times New Roman"/>
          <w:color w:val="auto"/>
          <w:kern w:val="0"/>
          <w:sz w:val="28"/>
          <w:szCs w:val="28"/>
          <w:highlight w:val="none"/>
          <w:shd w:val="clear" w:fill="FFFFFF"/>
          <w:lang w:val="en-US" w:eastAsia="zh-CN" w:bidi="ar"/>
        </w:rPr>
        <w:t>及其一致行动人海南交投基金</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未披露增持计划；</w:t>
      </w:r>
    </w:p>
    <w:p>
      <w:pPr>
        <w:pStyle w:val="2"/>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4、本次公告前6个月内，海南交投</w:t>
      </w:r>
      <w:r>
        <w:rPr>
          <w:rFonts w:hint="eastAsia" w:ascii="Times New Roman" w:hAnsi="Times New Roman" w:eastAsia="宋体" w:cs="Times New Roman"/>
          <w:color w:val="auto"/>
          <w:kern w:val="0"/>
          <w:sz w:val="28"/>
          <w:szCs w:val="28"/>
          <w:highlight w:val="none"/>
          <w:shd w:val="clear" w:fill="FFFFFF"/>
          <w:lang w:val="en-US" w:eastAsia="zh-CN" w:bidi="ar"/>
        </w:rPr>
        <w:t>及其一致行动人海南交投基金</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不存在减持公司股份的情形。</w:t>
      </w:r>
    </w:p>
    <w:p>
      <w:pPr>
        <w:pStyle w:val="2"/>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b/>
          <w:bCs/>
          <w:i w:val="0"/>
          <w:iCs w:val="0"/>
          <w:caps w:val="0"/>
          <w:color w:val="auto"/>
          <w:spacing w:val="0"/>
          <w:kern w:val="0"/>
          <w:sz w:val="28"/>
          <w:szCs w:val="28"/>
          <w:highlight w:val="none"/>
          <w:shd w:val="clear" w:fill="FFFFFF"/>
          <w:lang w:val="en-US" w:eastAsia="zh-CN" w:bidi="ar"/>
        </w:rPr>
        <w:t>二</w:t>
      </w:r>
      <w:r>
        <w:rPr>
          <w:rFonts w:hint="default" w:ascii="Times New Roman" w:hAnsi="Times New Roman" w:eastAsia="宋体" w:cs="Times New Roman"/>
          <w:b/>
          <w:bCs/>
          <w:i w:val="0"/>
          <w:iCs w:val="0"/>
          <w:caps w:val="0"/>
          <w:color w:val="auto"/>
          <w:spacing w:val="0"/>
          <w:kern w:val="0"/>
          <w:sz w:val="28"/>
          <w:szCs w:val="28"/>
          <w:highlight w:val="none"/>
          <w:shd w:val="clear" w:fill="FFFFFF"/>
          <w:lang w:val="en-US" w:eastAsia="zh-CN" w:bidi="ar"/>
        </w:rPr>
        <w:t>、</w:t>
      </w:r>
      <w:r>
        <w:rPr>
          <w:rFonts w:hint="eastAsia" w:ascii="Times New Roman" w:hAnsi="Times New Roman" w:eastAsia="宋体" w:cs="Times New Roman"/>
          <w:b/>
          <w:bCs/>
          <w:i w:val="0"/>
          <w:iCs w:val="0"/>
          <w:caps w:val="0"/>
          <w:color w:val="auto"/>
          <w:spacing w:val="0"/>
          <w:kern w:val="0"/>
          <w:sz w:val="28"/>
          <w:szCs w:val="28"/>
          <w:highlight w:val="none"/>
          <w:shd w:val="clear" w:fill="FFFFFF"/>
          <w:lang w:val="en-US" w:eastAsia="zh-CN" w:bidi="ar"/>
        </w:rPr>
        <w:t>本次增持计划的主要内容</w:t>
      </w:r>
    </w:p>
    <w:p>
      <w:pPr>
        <w:pStyle w:val="2"/>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1、</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增持目的：看好公司长期投资价值，增强公司控股权、优化股权结构。</w:t>
      </w:r>
    </w:p>
    <w:p>
      <w:pPr>
        <w:pStyle w:val="2"/>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2</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增持股份金额：4000万元至4500万元。</w:t>
      </w:r>
    </w:p>
    <w:p>
      <w:pPr>
        <w:pStyle w:val="2"/>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3</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资金来源：本次增持股份所需资金为银行信贷资金和</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海南交投</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自有资金。</w:t>
      </w:r>
    </w:p>
    <w:p>
      <w:pPr>
        <w:pStyle w:val="2"/>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4</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增持股份价格：本次增持计划未设定价格区间，增持主体将基于对公司股票价值的合理判断，并根据公司股票价格波动情况及资本市场整体趋势，择机实施增持计划。</w:t>
      </w:r>
    </w:p>
    <w:p>
      <w:pPr>
        <w:pStyle w:val="2"/>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5</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增持股份实施期限：自2025年4月30日起至2025年10月30日止。增持计划实施期间，若公司股票存在停牌情形，增持期限可予以顺延，</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公司</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将及时披露是否顺延实施。</w:t>
      </w:r>
    </w:p>
    <w:p>
      <w:pPr>
        <w:pStyle w:val="2"/>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6</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增持股份的方式：通过深圳证券交易所交易系统集中竞价方式增持股份。</w:t>
      </w:r>
    </w:p>
    <w:p>
      <w:pPr>
        <w:pStyle w:val="2"/>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7</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本次增持计划不基于增持主体的特定身份。</w:t>
      </w:r>
    </w:p>
    <w:p>
      <w:pPr>
        <w:pStyle w:val="2"/>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8</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本次增持股份锁定安排：</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海南交投</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将遵守中国证监会及深圳证券交易所关于股份锁定期限的安排。</w:t>
      </w:r>
    </w:p>
    <w:p>
      <w:pPr>
        <w:pStyle w:val="2"/>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9</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相关承诺：</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海南交投</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在增持计划实施期间，将严格遵守中国证监会、深圳证券交易所关于上市公司股票买卖的相关规定，不进行内幕交易、敏感期交易及短线交易等行为，</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海南交投</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承诺在增持期间及法定期限内不减持公司股份。</w:t>
      </w:r>
    </w:p>
    <w:p>
      <w:pPr>
        <w:pStyle w:val="2"/>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b/>
          <w:bCs/>
          <w:i w:val="0"/>
          <w:iCs w:val="0"/>
          <w:caps w:val="0"/>
          <w:color w:val="auto"/>
          <w:spacing w:val="0"/>
          <w:kern w:val="0"/>
          <w:sz w:val="28"/>
          <w:szCs w:val="28"/>
          <w:highlight w:val="none"/>
          <w:shd w:val="clear" w:fill="FFFFFF"/>
          <w:lang w:val="en-US" w:eastAsia="zh-CN" w:bidi="ar"/>
        </w:rPr>
        <w:t>三</w:t>
      </w:r>
      <w:r>
        <w:rPr>
          <w:rFonts w:hint="default" w:ascii="Times New Roman" w:hAnsi="Times New Roman" w:eastAsia="宋体" w:cs="Times New Roman"/>
          <w:b/>
          <w:bCs/>
          <w:i w:val="0"/>
          <w:iCs w:val="0"/>
          <w:caps w:val="0"/>
          <w:color w:val="auto"/>
          <w:spacing w:val="0"/>
          <w:kern w:val="0"/>
          <w:sz w:val="28"/>
          <w:szCs w:val="28"/>
          <w:highlight w:val="none"/>
          <w:shd w:val="clear" w:fill="FFFFFF"/>
          <w:lang w:val="en-US" w:eastAsia="zh-CN" w:bidi="ar"/>
        </w:rPr>
        <w:t>、</w:t>
      </w:r>
      <w:r>
        <w:rPr>
          <w:rFonts w:hint="eastAsia" w:ascii="Times New Roman" w:hAnsi="Times New Roman" w:eastAsia="宋体" w:cs="Times New Roman"/>
          <w:b/>
          <w:bCs/>
          <w:i w:val="0"/>
          <w:iCs w:val="0"/>
          <w:caps w:val="0"/>
          <w:color w:val="auto"/>
          <w:spacing w:val="0"/>
          <w:kern w:val="0"/>
          <w:sz w:val="28"/>
          <w:szCs w:val="28"/>
          <w:highlight w:val="none"/>
          <w:shd w:val="clear" w:fill="FFFFFF"/>
          <w:lang w:val="en-US" w:eastAsia="zh-CN" w:bidi="ar"/>
        </w:rPr>
        <w:t>增持计划实施情况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560" w:firstLineChars="200"/>
        <w:jc w:val="both"/>
        <w:textAlignment w:val="auto"/>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2025年6月17日，公司收到海南交投出具的《关于增持海南高速公路股份有限公司股份计划实施完毕的告知函》。截至2025年6月16日，海南交投通过深圳证券交易所交易系统，以集中竞价方式累计增持公司股份</w:t>
      </w:r>
      <w:r>
        <w:rPr>
          <w:rFonts w:hint="eastAsia" w:ascii="Times New Roman" w:hAnsi="Times New Roman" w:eastAsia="宋体" w:cs="Times New Roman"/>
          <w:color w:val="auto"/>
          <w:kern w:val="0"/>
          <w:sz w:val="28"/>
          <w:szCs w:val="28"/>
          <w:highlight w:val="none"/>
          <w:shd w:val="clear" w:fill="FFFFFF"/>
          <w:lang w:val="en-US" w:eastAsia="zh-CN" w:bidi="ar"/>
        </w:rPr>
        <w:t>7,476,200</w:t>
      </w: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股，占公司总股本的0.756%，累计增持股份金额44,990,736.00元。本次增持后，海南交投及其一致行动人海南交投基金合计持有公司股份264,192,239股，占公司总股本的比例为26.72%，本次增持计划已提前实施完毕。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560" w:firstLineChars="200"/>
        <w:jc w:val="both"/>
        <w:textAlignment w:val="auto"/>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本次增持公司股份未导致公司控制权发生变化，本次增持前后海南交投及其一致行动人海南交投基金的具体持股情况如下：</w:t>
      </w:r>
    </w:p>
    <w:tbl>
      <w:tblPr>
        <w:tblStyle w:val="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1"/>
        <w:gridCol w:w="1575"/>
        <w:gridCol w:w="1414"/>
        <w:gridCol w:w="1547"/>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Merge w:val="restart"/>
            <w:vAlign w:val="center"/>
          </w:tcPr>
          <w:p>
            <w:pPr>
              <w:spacing w:line="540" w:lineRule="exact"/>
              <w:jc w:val="center"/>
              <w:rPr>
                <w:rFonts w:hint="default" w:ascii="Times New Roman" w:hAnsi="Times New Roman" w:eastAsia="宋体" w:cs="Times New Roman"/>
                <w:b/>
                <w:bCs/>
                <w:color w:val="auto"/>
                <w:sz w:val="24"/>
                <w:szCs w:val="24"/>
                <w:highlight w:val="none"/>
                <w:vertAlign w:val="baseline"/>
                <w:lang w:val="en-US" w:eastAsia="zh-CN"/>
              </w:rPr>
            </w:pPr>
            <w:r>
              <w:rPr>
                <w:rFonts w:hint="default" w:ascii="Times New Roman" w:hAnsi="Times New Roman" w:eastAsia="宋体" w:cs="Times New Roman"/>
                <w:b/>
                <w:bCs/>
                <w:color w:val="auto"/>
                <w:sz w:val="24"/>
                <w:szCs w:val="24"/>
                <w:highlight w:val="none"/>
                <w:vertAlign w:val="baseline"/>
                <w:lang w:val="en-US" w:eastAsia="zh-CN"/>
              </w:rPr>
              <w:t>股东名称</w:t>
            </w:r>
          </w:p>
        </w:tc>
        <w:tc>
          <w:tcPr>
            <w:tcW w:w="1666" w:type="pct"/>
            <w:gridSpan w:val="2"/>
            <w:vAlign w:val="center"/>
          </w:tcPr>
          <w:p>
            <w:pPr>
              <w:spacing w:line="540" w:lineRule="exact"/>
              <w:jc w:val="center"/>
              <w:rPr>
                <w:rFonts w:hint="default" w:ascii="Times New Roman" w:hAnsi="Times New Roman" w:eastAsia="宋体" w:cs="Times New Roman"/>
                <w:b/>
                <w:bCs/>
                <w:color w:val="auto"/>
                <w:sz w:val="24"/>
                <w:szCs w:val="24"/>
                <w:highlight w:val="none"/>
                <w:vertAlign w:val="baseline"/>
                <w:lang w:val="en-US" w:eastAsia="zh-CN"/>
              </w:rPr>
            </w:pPr>
            <w:r>
              <w:rPr>
                <w:rFonts w:hint="default" w:ascii="Times New Roman" w:hAnsi="Times New Roman" w:eastAsia="宋体" w:cs="Times New Roman"/>
                <w:b/>
                <w:bCs/>
                <w:color w:val="auto"/>
                <w:sz w:val="24"/>
                <w:szCs w:val="24"/>
                <w:highlight w:val="none"/>
                <w:vertAlign w:val="baseline"/>
                <w:lang w:val="en-US" w:eastAsia="zh-CN"/>
              </w:rPr>
              <w:t>本次变动前持有股份</w:t>
            </w:r>
          </w:p>
        </w:tc>
        <w:tc>
          <w:tcPr>
            <w:tcW w:w="1643" w:type="pct"/>
            <w:gridSpan w:val="2"/>
            <w:vAlign w:val="center"/>
          </w:tcPr>
          <w:p>
            <w:pPr>
              <w:spacing w:line="540" w:lineRule="exact"/>
              <w:jc w:val="center"/>
              <w:rPr>
                <w:rFonts w:hint="default" w:ascii="Times New Roman" w:hAnsi="Times New Roman" w:eastAsia="宋体" w:cs="Times New Roman"/>
                <w:b/>
                <w:bCs/>
                <w:color w:val="auto"/>
                <w:sz w:val="24"/>
                <w:szCs w:val="24"/>
                <w:highlight w:val="none"/>
                <w:vertAlign w:val="baseline"/>
                <w:lang w:val="en-US" w:eastAsia="zh-CN"/>
              </w:rPr>
            </w:pPr>
            <w:r>
              <w:rPr>
                <w:rFonts w:hint="default" w:ascii="Times New Roman" w:hAnsi="Times New Roman" w:eastAsia="宋体" w:cs="Times New Roman"/>
                <w:b/>
                <w:bCs/>
                <w:color w:val="auto"/>
                <w:sz w:val="24"/>
                <w:szCs w:val="24"/>
                <w:highlight w:val="none"/>
                <w:vertAlign w:val="baseline"/>
                <w:lang w:val="en-US" w:eastAsia="zh-CN"/>
              </w:rPr>
              <w:t>本次变动后持有股份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1689" w:type="pct"/>
            <w:vMerge w:val="continue"/>
            <w:vAlign w:val="center"/>
          </w:tcPr>
          <w:p>
            <w:pPr>
              <w:spacing w:line="540" w:lineRule="exact"/>
              <w:jc w:val="center"/>
              <w:rPr>
                <w:rFonts w:hint="default" w:ascii="Times New Roman" w:hAnsi="Times New Roman" w:eastAsia="宋体" w:cs="Times New Roman"/>
                <w:color w:val="auto"/>
                <w:sz w:val="24"/>
                <w:szCs w:val="24"/>
                <w:highlight w:val="none"/>
                <w:vertAlign w:val="baseline"/>
                <w:lang w:val="en-US" w:eastAsia="zh-CN"/>
              </w:rPr>
            </w:pPr>
          </w:p>
        </w:tc>
        <w:tc>
          <w:tcPr>
            <w:tcW w:w="878" w:type="pct"/>
            <w:vAlign w:val="center"/>
          </w:tcPr>
          <w:p>
            <w:pPr>
              <w:spacing w:line="540" w:lineRule="exact"/>
              <w:jc w:val="center"/>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股数（股）</w:t>
            </w:r>
          </w:p>
        </w:tc>
        <w:tc>
          <w:tcPr>
            <w:tcW w:w="788" w:type="pct"/>
            <w:vAlign w:val="center"/>
          </w:tcPr>
          <w:p>
            <w:pPr>
              <w:spacing w:line="540" w:lineRule="exact"/>
              <w:jc w:val="center"/>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占总股本本比例（%）</w:t>
            </w:r>
          </w:p>
        </w:tc>
        <w:tc>
          <w:tcPr>
            <w:tcW w:w="862" w:type="pct"/>
            <w:vAlign w:val="center"/>
          </w:tcPr>
          <w:p>
            <w:pPr>
              <w:spacing w:line="540" w:lineRule="exact"/>
              <w:jc w:val="center"/>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股数（股）</w:t>
            </w:r>
          </w:p>
        </w:tc>
        <w:tc>
          <w:tcPr>
            <w:tcW w:w="781" w:type="pct"/>
            <w:vAlign w:val="center"/>
          </w:tcPr>
          <w:p>
            <w:pPr>
              <w:spacing w:line="540" w:lineRule="exact"/>
              <w:jc w:val="center"/>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占总股本比例（%）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spacing w:line="540" w:lineRule="exact"/>
              <w:jc w:val="center"/>
              <w:rPr>
                <w:rFonts w:hint="default" w:ascii="Times New Roman" w:hAnsi="Times New Roman" w:eastAsia="宋体" w:cs="Times New Roman"/>
                <w:color w:val="auto"/>
                <w:sz w:val="24"/>
                <w:szCs w:val="24"/>
                <w:highlight w:val="none"/>
                <w:vertAlign w:val="baseline"/>
                <w:lang w:val="en-US" w:eastAsia="zh-CN"/>
              </w:rPr>
            </w:pPr>
            <w:r>
              <w:rPr>
                <w:rFonts w:hint="eastAsia" w:ascii="Times New Roman" w:hAnsi="Times New Roman" w:eastAsia="宋体" w:cs="Times New Roman"/>
                <w:color w:val="auto"/>
                <w:sz w:val="24"/>
                <w:szCs w:val="24"/>
                <w:highlight w:val="none"/>
                <w:lang w:val="en-US" w:eastAsia="zh-CN"/>
              </w:rPr>
              <w:t>海南交投</w:t>
            </w:r>
          </w:p>
        </w:tc>
        <w:tc>
          <w:tcPr>
            <w:tcW w:w="878" w:type="pct"/>
            <w:vAlign w:val="center"/>
          </w:tcPr>
          <w:p>
            <w:pPr>
              <w:spacing w:line="540" w:lineRule="exact"/>
              <w:jc w:val="center"/>
              <w:rPr>
                <w:rFonts w:hint="default" w:ascii="Times New Roman" w:hAnsi="Times New Roman" w:eastAsia="宋体" w:cs="Times New Roman"/>
                <w:color w:val="auto"/>
                <w:sz w:val="24"/>
                <w:szCs w:val="24"/>
                <w:highlight w:val="none"/>
                <w:vertAlign w:val="baseline"/>
                <w:lang w:val="en-US" w:eastAsia="zh-CN"/>
              </w:rPr>
            </w:pPr>
            <w:r>
              <w:rPr>
                <w:rFonts w:hint="eastAsia" w:ascii="Times New Roman" w:hAnsi="Times New Roman" w:eastAsia="宋体" w:cs="Times New Roman"/>
                <w:color w:val="auto"/>
                <w:sz w:val="24"/>
                <w:szCs w:val="24"/>
                <w:highlight w:val="none"/>
                <w:vertAlign w:val="baseline"/>
                <w:lang w:val="en-US" w:eastAsia="zh-CN"/>
              </w:rPr>
              <w:t>251,036,039</w:t>
            </w:r>
          </w:p>
        </w:tc>
        <w:tc>
          <w:tcPr>
            <w:tcW w:w="788" w:type="pct"/>
            <w:vAlign w:val="center"/>
          </w:tcPr>
          <w:p>
            <w:pPr>
              <w:spacing w:line="540" w:lineRule="exact"/>
              <w:jc w:val="center"/>
              <w:rPr>
                <w:rFonts w:hint="default" w:ascii="Times New Roman" w:hAnsi="Times New Roman" w:eastAsia="宋体" w:cs="Times New Roman"/>
                <w:color w:val="auto"/>
                <w:sz w:val="24"/>
                <w:szCs w:val="24"/>
                <w:highlight w:val="none"/>
                <w:vertAlign w:val="baseline"/>
                <w:lang w:val="en-US" w:eastAsia="zh-CN"/>
              </w:rPr>
            </w:pPr>
            <w:r>
              <w:rPr>
                <w:rFonts w:hint="eastAsia" w:ascii="Times New Roman" w:hAnsi="Times New Roman" w:eastAsia="宋体" w:cs="Times New Roman"/>
                <w:color w:val="auto"/>
                <w:sz w:val="24"/>
                <w:szCs w:val="24"/>
                <w:highlight w:val="none"/>
                <w:vertAlign w:val="baseline"/>
                <w:lang w:val="en-US" w:eastAsia="zh-CN"/>
              </w:rPr>
              <w:t>25.39</w:t>
            </w:r>
          </w:p>
        </w:tc>
        <w:tc>
          <w:tcPr>
            <w:tcW w:w="862" w:type="pct"/>
            <w:vAlign w:val="center"/>
          </w:tcPr>
          <w:p>
            <w:pPr>
              <w:spacing w:line="540" w:lineRule="exact"/>
              <w:jc w:val="center"/>
              <w:rPr>
                <w:rFonts w:hint="default" w:ascii="Times New Roman" w:hAnsi="Times New Roman" w:eastAsia="宋体" w:cs="Times New Roman"/>
                <w:color w:val="auto"/>
                <w:sz w:val="24"/>
                <w:szCs w:val="24"/>
                <w:highlight w:val="none"/>
                <w:vertAlign w:val="baseline"/>
                <w:lang w:val="en-US" w:eastAsia="zh-CN"/>
              </w:rPr>
            </w:pPr>
            <w:r>
              <w:rPr>
                <w:rFonts w:hint="eastAsia" w:ascii="Times New Roman" w:hAnsi="Times New Roman" w:eastAsia="宋体" w:cs="Times New Roman"/>
                <w:color w:val="auto"/>
                <w:sz w:val="24"/>
                <w:szCs w:val="24"/>
                <w:highlight w:val="none"/>
                <w:vertAlign w:val="baseline"/>
                <w:lang w:val="en-US" w:eastAsia="zh-CN"/>
              </w:rPr>
              <w:t>258,512,239</w:t>
            </w:r>
          </w:p>
        </w:tc>
        <w:tc>
          <w:tcPr>
            <w:tcW w:w="781" w:type="pct"/>
            <w:vAlign w:val="center"/>
          </w:tcPr>
          <w:p>
            <w:pPr>
              <w:spacing w:line="540" w:lineRule="exact"/>
              <w:jc w:val="center"/>
              <w:rPr>
                <w:rFonts w:hint="default" w:ascii="Times New Roman" w:hAnsi="Times New Roman" w:eastAsia="宋体" w:cs="Times New Roman"/>
                <w:color w:val="auto"/>
                <w:sz w:val="24"/>
                <w:szCs w:val="24"/>
                <w:highlight w:val="none"/>
                <w:vertAlign w:val="baseline"/>
                <w:lang w:val="en-US" w:eastAsia="zh-CN"/>
              </w:rPr>
            </w:pPr>
            <w:r>
              <w:rPr>
                <w:rFonts w:hint="eastAsia" w:ascii="Times New Roman" w:hAnsi="Times New Roman" w:eastAsia="宋体" w:cs="Times New Roman"/>
                <w:color w:val="auto"/>
                <w:sz w:val="24"/>
                <w:szCs w:val="24"/>
                <w:highlight w:val="none"/>
                <w:vertAlign w:val="baseline"/>
                <w:lang w:val="en-US" w:eastAsia="zh-CN"/>
              </w:rPr>
              <w:t>26.14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spacing w:line="540" w:lineRule="exact"/>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海南交投基金</w:t>
            </w:r>
          </w:p>
        </w:tc>
        <w:tc>
          <w:tcPr>
            <w:tcW w:w="878" w:type="pct"/>
            <w:vAlign w:val="center"/>
          </w:tcPr>
          <w:p>
            <w:pPr>
              <w:spacing w:line="540" w:lineRule="exact"/>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5,680,000</w:t>
            </w:r>
          </w:p>
        </w:tc>
        <w:tc>
          <w:tcPr>
            <w:tcW w:w="788" w:type="pct"/>
            <w:vAlign w:val="center"/>
          </w:tcPr>
          <w:p>
            <w:pPr>
              <w:spacing w:line="540" w:lineRule="exact"/>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0.57</w:t>
            </w:r>
          </w:p>
        </w:tc>
        <w:tc>
          <w:tcPr>
            <w:tcW w:w="862" w:type="pct"/>
            <w:vAlign w:val="center"/>
          </w:tcPr>
          <w:p>
            <w:pPr>
              <w:spacing w:line="540" w:lineRule="exact"/>
              <w:jc w:val="center"/>
              <w:rPr>
                <w:rFonts w:hint="default" w:ascii="Times New Roman" w:hAnsi="Times New Roman" w:eastAsia="宋体" w:cs="Times New Roman"/>
                <w:color w:val="auto"/>
                <w:sz w:val="24"/>
                <w:szCs w:val="24"/>
                <w:highlight w:val="none"/>
                <w:vertAlign w:val="baseline"/>
                <w:lang w:val="en-US" w:eastAsia="zh-CN"/>
              </w:rPr>
            </w:pPr>
            <w:r>
              <w:rPr>
                <w:rFonts w:hint="eastAsia" w:ascii="Times New Roman" w:hAnsi="Times New Roman" w:eastAsia="宋体" w:cs="Times New Roman"/>
                <w:color w:val="auto"/>
                <w:sz w:val="24"/>
                <w:szCs w:val="24"/>
                <w:highlight w:val="none"/>
                <w:lang w:val="en-US" w:eastAsia="zh-CN"/>
              </w:rPr>
              <w:t>5,680,000</w:t>
            </w:r>
          </w:p>
        </w:tc>
        <w:tc>
          <w:tcPr>
            <w:tcW w:w="781" w:type="pct"/>
            <w:vAlign w:val="center"/>
          </w:tcPr>
          <w:p>
            <w:pPr>
              <w:spacing w:line="540" w:lineRule="exact"/>
              <w:jc w:val="center"/>
              <w:rPr>
                <w:rFonts w:hint="default" w:ascii="Times New Roman" w:hAnsi="Times New Roman" w:eastAsia="宋体" w:cs="Times New Roman"/>
                <w:color w:val="auto"/>
                <w:sz w:val="24"/>
                <w:szCs w:val="24"/>
                <w:highlight w:val="none"/>
                <w:vertAlign w:val="baseline"/>
                <w:lang w:val="en-US" w:eastAsia="zh-CN"/>
              </w:rPr>
            </w:pPr>
            <w:r>
              <w:rPr>
                <w:rFonts w:hint="eastAsia" w:ascii="Times New Roman" w:hAnsi="Times New Roman" w:eastAsia="宋体" w:cs="Times New Roman"/>
                <w:color w:val="auto"/>
                <w:sz w:val="24"/>
                <w:szCs w:val="24"/>
                <w:highlight w:val="none"/>
                <w:lang w:val="en-US" w:eastAsia="zh-CN"/>
              </w:rPr>
              <w:t>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spacing w:line="540" w:lineRule="exact"/>
              <w:jc w:val="center"/>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合计</w:t>
            </w:r>
          </w:p>
        </w:tc>
        <w:tc>
          <w:tcPr>
            <w:tcW w:w="1575" w:type="dxa"/>
            <w:vAlign w:val="center"/>
          </w:tcPr>
          <w:p>
            <w:pPr>
              <w:spacing w:line="540" w:lineRule="exact"/>
              <w:jc w:val="center"/>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256,716,039</w:t>
            </w:r>
          </w:p>
        </w:tc>
        <w:tc>
          <w:tcPr>
            <w:tcW w:w="1414" w:type="dxa"/>
            <w:vAlign w:val="center"/>
          </w:tcPr>
          <w:p>
            <w:pPr>
              <w:spacing w:line="540" w:lineRule="exact"/>
              <w:jc w:val="center"/>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25.</w:t>
            </w:r>
            <w:r>
              <w:rPr>
                <w:rFonts w:hint="default" w:ascii="Times New Roman" w:hAnsi="Times New Roman" w:eastAsia="宋体" w:cs="Times New Roman"/>
                <w:b/>
                <w:bCs/>
                <w:i w:val="0"/>
                <w:iCs w:val="0"/>
                <w:caps w:val="0"/>
                <w:color w:val="auto"/>
                <w:spacing w:val="0"/>
                <w:kern w:val="2"/>
                <w:sz w:val="24"/>
                <w:szCs w:val="24"/>
                <w:highlight w:val="none"/>
                <w:shd w:val="clear"/>
                <w:lang w:val="en-US" w:eastAsia="zh-CN" w:bidi="ar"/>
              </w:rPr>
              <w:t>96</w:t>
            </w:r>
          </w:p>
        </w:tc>
        <w:tc>
          <w:tcPr>
            <w:tcW w:w="1547" w:type="dxa"/>
            <w:vAlign w:val="center"/>
          </w:tcPr>
          <w:p>
            <w:pPr>
              <w:spacing w:line="540" w:lineRule="exact"/>
              <w:jc w:val="center"/>
              <w:rPr>
                <w:rFonts w:hint="default" w:ascii="Times New Roman" w:hAnsi="Times New Roman" w:eastAsia="宋体" w:cs="Times New Roman"/>
                <w:b/>
                <w:bCs/>
                <w:color w:val="auto"/>
                <w:sz w:val="24"/>
                <w:szCs w:val="24"/>
                <w:highlight w:val="none"/>
                <w:vertAlign w:val="baseline"/>
                <w:lang w:val="en-US" w:eastAsia="zh-CN"/>
              </w:rPr>
            </w:pPr>
            <w:r>
              <w:rPr>
                <w:rFonts w:hint="eastAsia" w:ascii="Times New Roman" w:hAnsi="Times New Roman" w:eastAsia="宋体" w:cs="Times New Roman"/>
                <w:b/>
                <w:bCs/>
                <w:color w:val="auto"/>
                <w:sz w:val="24"/>
                <w:szCs w:val="24"/>
                <w:highlight w:val="none"/>
                <w:vertAlign w:val="baseline"/>
                <w:lang w:val="en-US" w:eastAsia="zh-CN"/>
              </w:rPr>
              <w:t>264,192,239</w:t>
            </w:r>
          </w:p>
        </w:tc>
        <w:tc>
          <w:tcPr>
            <w:tcW w:w="1402" w:type="dxa"/>
            <w:vAlign w:val="center"/>
          </w:tcPr>
          <w:p>
            <w:pPr>
              <w:spacing w:line="540" w:lineRule="exact"/>
              <w:jc w:val="center"/>
              <w:rPr>
                <w:rFonts w:hint="default" w:ascii="Times New Roman" w:hAnsi="Times New Roman" w:eastAsia="宋体" w:cs="Times New Roman"/>
                <w:b/>
                <w:bCs/>
                <w:color w:val="auto"/>
                <w:sz w:val="24"/>
                <w:szCs w:val="24"/>
                <w:highlight w:val="none"/>
                <w:vertAlign w:val="baseline"/>
                <w:lang w:val="en-US" w:eastAsia="zh-CN"/>
              </w:rPr>
            </w:pPr>
            <w:r>
              <w:rPr>
                <w:rFonts w:hint="default" w:ascii="Times New Roman" w:hAnsi="Times New Roman" w:eastAsia="宋体" w:cs="Times New Roman"/>
                <w:b/>
                <w:bCs/>
                <w:color w:val="auto"/>
                <w:sz w:val="24"/>
                <w:szCs w:val="24"/>
                <w:highlight w:val="none"/>
                <w:vertAlign w:val="baseline"/>
                <w:lang w:val="en-US" w:eastAsia="zh-CN"/>
              </w:rPr>
              <w:t>26.7</w:t>
            </w:r>
            <w:r>
              <w:rPr>
                <w:rFonts w:hint="eastAsia" w:ascii="Times New Roman" w:hAnsi="Times New Roman" w:eastAsia="宋体" w:cs="Times New Roman"/>
                <w:b/>
                <w:bCs/>
                <w:color w:val="auto"/>
                <w:sz w:val="24"/>
                <w:szCs w:val="24"/>
                <w:highlight w:val="none"/>
                <w:vertAlign w:val="baseline"/>
                <w:lang w:val="en-US" w:eastAsia="zh-CN"/>
              </w:rPr>
              <w:t>2</w:t>
            </w:r>
            <w:bookmarkStart w:id="0" w:name="_GoBack"/>
            <w:bookmarkEnd w:id="0"/>
          </w:p>
        </w:tc>
      </w:tr>
    </w:tbl>
    <w:p>
      <w:pPr>
        <w:pStyle w:val="2"/>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b/>
          <w:bCs/>
          <w:i w:val="0"/>
          <w:iCs w:val="0"/>
          <w:caps w:val="0"/>
          <w:color w:val="auto"/>
          <w:spacing w:val="0"/>
          <w:kern w:val="0"/>
          <w:sz w:val="28"/>
          <w:szCs w:val="28"/>
          <w:highlight w:val="none"/>
          <w:shd w:val="clear" w:fill="FFFFFF"/>
          <w:lang w:val="en-US" w:eastAsia="zh-CN" w:bidi="ar"/>
        </w:rPr>
        <w:t>四</w:t>
      </w:r>
      <w:r>
        <w:rPr>
          <w:rFonts w:hint="default" w:ascii="Times New Roman" w:hAnsi="Times New Roman" w:eastAsia="宋体" w:cs="Times New Roman"/>
          <w:b/>
          <w:bCs/>
          <w:i w:val="0"/>
          <w:iCs w:val="0"/>
          <w:caps w:val="0"/>
          <w:color w:val="auto"/>
          <w:spacing w:val="0"/>
          <w:kern w:val="0"/>
          <w:sz w:val="28"/>
          <w:szCs w:val="28"/>
          <w:highlight w:val="none"/>
          <w:shd w:val="clear" w:fill="FFFFFF"/>
          <w:lang w:val="en-US" w:eastAsia="zh-CN" w:bidi="ar"/>
        </w:rPr>
        <w:t>、</w:t>
      </w:r>
      <w:r>
        <w:rPr>
          <w:rFonts w:hint="eastAsia" w:ascii="Times New Roman" w:hAnsi="Times New Roman" w:eastAsia="宋体" w:cs="Times New Roman"/>
          <w:b/>
          <w:bCs/>
          <w:i w:val="0"/>
          <w:iCs w:val="0"/>
          <w:caps w:val="0"/>
          <w:color w:val="auto"/>
          <w:spacing w:val="0"/>
          <w:kern w:val="0"/>
          <w:sz w:val="28"/>
          <w:szCs w:val="28"/>
          <w:highlight w:val="none"/>
          <w:shd w:val="clear" w:fill="FFFFFF"/>
          <w:lang w:val="en-US" w:eastAsia="zh-CN" w:bidi="ar"/>
        </w:rPr>
        <w:t>其他事项说明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560" w:firstLineChars="200"/>
        <w:jc w:val="both"/>
        <w:textAlignment w:val="auto"/>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1、本次增持符合《公司法》《证券法》《上市公司收购管理办法》等相关法律、行政法规、部门规章及规范性文件的规定。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560" w:firstLineChars="200"/>
        <w:jc w:val="both"/>
        <w:textAlignment w:val="auto"/>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2、本次增持公司股份不会导致公司股权分布不具备上市条件，不会导致公司控制权发生变化。</w:t>
      </w:r>
    </w:p>
    <w:p>
      <w:pPr>
        <w:pStyle w:val="2"/>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b/>
          <w:bCs/>
          <w:i w:val="0"/>
          <w:iCs w:val="0"/>
          <w:caps w:val="0"/>
          <w:color w:val="auto"/>
          <w:spacing w:val="0"/>
          <w:kern w:val="0"/>
          <w:sz w:val="28"/>
          <w:szCs w:val="28"/>
          <w:highlight w:val="none"/>
          <w:shd w:val="clear" w:fill="FFFFFF"/>
          <w:lang w:val="en-US" w:eastAsia="zh-CN" w:bidi="ar"/>
        </w:rPr>
        <w:t>五</w:t>
      </w:r>
      <w:r>
        <w:rPr>
          <w:rFonts w:hint="default" w:ascii="Times New Roman" w:hAnsi="Times New Roman" w:eastAsia="宋体" w:cs="Times New Roman"/>
          <w:b/>
          <w:bCs/>
          <w:i w:val="0"/>
          <w:iCs w:val="0"/>
          <w:caps w:val="0"/>
          <w:color w:val="auto"/>
          <w:spacing w:val="0"/>
          <w:kern w:val="0"/>
          <w:sz w:val="28"/>
          <w:szCs w:val="28"/>
          <w:highlight w:val="none"/>
          <w:shd w:val="clear" w:fill="FFFFFF"/>
          <w:lang w:val="en-US" w:eastAsia="zh-CN" w:bidi="ar"/>
        </w:rPr>
        <w:t>、</w:t>
      </w:r>
      <w:r>
        <w:rPr>
          <w:rFonts w:hint="eastAsia" w:ascii="Times New Roman" w:hAnsi="Times New Roman" w:eastAsia="宋体" w:cs="Times New Roman"/>
          <w:b/>
          <w:bCs/>
          <w:i w:val="0"/>
          <w:iCs w:val="0"/>
          <w:caps w:val="0"/>
          <w:color w:val="auto"/>
          <w:spacing w:val="0"/>
          <w:kern w:val="0"/>
          <w:sz w:val="28"/>
          <w:szCs w:val="28"/>
          <w:highlight w:val="none"/>
          <w:shd w:val="clear" w:fill="FFFFFF"/>
          <w:lang w:val="en-US" w:eastAsia="zh-CN" w:bidi="ar"/>
        </w:rPr>
        <w:t>备查文件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560" w:firstLineChars="200"/>
        <w:jc w:val="both"/>
        <w:textAlignment w:val="auto"/>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海南交投出具的《关于增持海南高速公路股份有限公司股份计划实施完毕的告知函》。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560" w:firstLineChars="200"/>
        <w:jc w:val="both"/>
        <w:textAlignment w:val="auto"/>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560" w:firstLineChars="200"/>
        <w:jc w:val="both"/>
        <w:textAlignment w:val="auto"/>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560" w:firstLineChars="200"/>
        <w:jc w:val="both"/>
        <w:textAlignment w:val="auto"/>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特此公告。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jc w:val="right"/>
        <w:textAlignment w:val="auto"/>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jc w:val="right"/>
        <w:textAlignment w:val="auto"/>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jc w:val="right"/>
        <w:textAlignment w:val="auto"/>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jc w:val="right"/>
        <w:textAlignment w:val="auto"/>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jc w:val="center"/>
        <w:textAlignment w:val="auto"/>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 xml:space="preserve">                                 海南高速公路</w:t>
      </w:r>
      <w:r>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t>股份有限公司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jc w:val="center"/>
        <w:textAlignment w:val="auto"/>
        <w:rPr>
          <w:rFonts w:hint="default" w:ascii="Times New Roman" w:hAnsi="Times New Roman" w:eastAsia="宋体" w:cs="Times New Roman"/>
          <w:i w:val="0"/>
          <w:iCs w:val="0"/>
          <w:caps w:val="0"/>
          <w:color w:val="auto"/>
          <w:spacing w:val="0"/>
          <w:kern w:val="0"/>
          <w:sz w:val="28"/>
          <w:szCs w:val="28"/>
          <w:highlight w:val="none"/>
          <w:shd w:val="clear" w:fill="FFFFFF"/>
          <w:lang w:val="en-US" w:eastAsia="zh-CN" w:bidi="ar"/>
        </w:rPr>
      </w:pPr>
      <w:r>
        <w:rPr>
          <w:rFonts w:hint="eastAsia" w:ascii="Times New Roman" w:hAnsi="Times New Roman" w:eastAsia="宋体" w:cs="Times New Roman"/>
          <w:i w:val="0"/>
          <w:iCs w:val="0"/>
          <w:caps w:val="0"/>
          <w:color w:val="auto"/>
          <w:spacing w:val="0"/>
          <w:kern w:val="0"/>
          <w:sz w:val="28"/>
          <w:szCs w:val="28"/>
          <w:highlight w:val="none"/>
          <w:shd w:val="clear" w:fill="FFFFFF"/>
          <w:lang w:val="en-US" w:eastAsia="zh-CN" w:bidi="ar"/>
        </w:rPr>
        <w:t xml:space="preserve">                             董 事 会</w:t>
      </w:r>
    </w:p>
    <w:p>
      <w:pPr>
        <w:keepNext w:val="0"/>
        <w:keepLines w:val="0"/>
        <w:pageBreakBefore w:val="0"/>
        <w:kinsoku/>
        <w:wordWrap/>
        <w:overflowPunct/>
        <w:topLinePunct w:val="0"/>
        <w:autoSpaceDE/>
        <w:autoSpaceDN/>
        <w:bidi w:val="0"/>
        <w:adjustRightInd/>
        <w:snapToGrid/>
        <w:spacing w:line="540" w:lineRule="exact"/>
        <w:jc w:val="center"/>
        <w:textAlignment w:val="auto"/>
        <w:rPr>
          <w:rFonts w:hint="default" w:ascii="Times New Roman" w:hAnsi="Times New Roman" w:cs="Times New Roman" w:eastAsiaTheme="minorEastAsia"/>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 xml:space="preserve">                              2025年6月18日</w:t>
      </w:r>
    </w:p>
    <w:sectPr>
      <w:footerReference r:id="rId3" w:type="default"/>
      <w:pgSz w:w="11906" w:h="16838"/>
      <w:pgMar w:top="1440" w:right="1576" w:bottom="1440" w:left="1576"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_GB2312">
    <w:altName w:val="微软雅黑"/>
    <w:panose1 w:val="00000000000000000000"/>
    <w:charset w:val="00"/>
    <w:family w:val="roman"/>
    <w:pitch w:val="default"/>
    <w:sig w:usb0="00000000" w:usb1="00000000" w:usb2="00000000"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CCCDAA"/>
    <w:multiLevelType w:val="singleLevel"/>
    <w:tmpl w:val="3FCCCDA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2Nzg5ODZjNTAzMDk0ZWM5ZTBjZTZmMjRiZTM0MDQifQ=="/>
  </w:docVars>
  <w:rsids>
    <w:rsidRoot w:val="1CDB78F4"/>
    <w:rsid w:val="00066350"/>
    <w:rsid w:val="002150C4"/>
    <w:rsid w:val="00421509"/>
    <w:rsid w:val="005F037B"/>
    <w:rsid w:val="00902C2A"/>
    <w:rsid w:val="00D06161"/>
    <w:rsid w:val="00F04498"/>
    <w:rsid w:val="010C0502"/>
    <w:rsid w:val="01213B74"/>
    <w:rsid w:val="0147778C"/>
    <w:rsid w:val="019A3CDB"/>
    <w:rsid w:val="01C4248E"/>
    <w:rsid w:val="01D20C85"/>
    <w:rsid w:val="01E80618"/>
    <w:rsid w:val="02251150"/>
    <w:rsid w:val="024E06A7"/>
    <w:rsid w:val="025E7D63"/>
    <w:rsid w:val="0275631F"/>
    <w:rsid w:val="027C52DF"/>
    <w:rsid w:val="02AB345B"/>
    <w:rsid w:val="02D45932"/>
    <w:rsid w:val="02FC0A50"/>
    <w:rsid w:val="030B2A3C"/>
    <w:rsid w:val="031B2C7F"/>
    <w:rsid w:val="03903AE7"/>
    <w:rsid w:val="03B739A6"/>
    <w:rsid w:val="03E60C72"/>
    <w:rsid w:val="042774DD"/>
    <w:rsid w:val="04A43C21"/>
    <w:rsid w:val="05551D4C"/>
    <w:rsid w:val="059B2115"/>
    <w:rsid w:val="05A67570"/>
    <w:rsid w:val="05CC64B2"/>
    <w:rsid w:val="05D15877"/>
    <w:rsid w:val="05D67331"/>
    <w:rsid w:val="06B37672"/>
    <w:rsid w:val="06C673A5"/>
    <w:rsid w:val="06D505D2"/>
    <w:rsid w:val="06FA4F5F"/>
    <w:rsid w:val="075408D1"/>
    <w:rsid w:val="075D1599"/>
    <w:rsid w:val="076D2240"/>
    <w:rsid w:val="07AA1C7E"/>
    <w:rsid w:val="07B40D33"/>
    <w:rsid w:val="07CF228A"/>
    <w:rsid w:val="081710BE"/>
    <w:rsid w:val="082500FC"/>
    <w:rsid w:val="082D707C"/>
    <w:rsid w:val="08AD54F4"/>
    <w:rsid w:val="08B76DE6"/>
    <w:rsid w:val="08C22B42"/>
    <w:rsid w:val="08CB32E1"/>
    <w:rsid w:val="08E60B66"/>
    <w:rsid w:val="08EF7199"/>
    <w:rsid w:val="08FE33D1"/>
    <w:rsid w:val="090E0B90"/>
    <w:rsid w:val="091512D9"/>
    <w:rsid w:val="092108C3"/>
    <w:rsid w:val="09464FAF"/>
    <w:rsid w:val="09CC14BE"/>
    <w:rsid w:val="0A413398"/>
    <w:rsid w:val="0A5F2BA0"/>
    <w:rsid w:val="0ABC4EF3"/>
    <w:rsid w:val="0AD273D9"/>
    <w:rsid w:val="0B60250E"/>
    <w:rsid w:val="0B701A53"/>
    <w:rsid w:val="0C234952"/>
    <w:rsid w:val="0C6F5DE9"/>
    <w:rsid w:val="0CA75583"/>
    <w:rsid w:val="0CB218BE"/>
    <w:rsid w:val="0D2B29ED"/>
    <w:rsid w:val="0D987B18"/>
    <w:rsid w:val="0E010FB8"/>
    <w:rsid w:val="0E596F18"/>
    <w:rsid w:val="0E94387A"/>
    <w:rsid w:val="0E9905A5"/>
    <w:rsid w:val="0EB67D00"/>
    <w:rsid w:val="0F183BEF"/>
    <w:rsid w:val="0F2C26AD"/>
    <w:rsid w:val="0F601A19"/>
    <w:rsid w:val="0FB513D3"/>
    <w:rsid w:val="0FD6022A"/>
    <w:rsid w:val="1021564D"/>
    <w:rsid w:val="1032785A"/>
    <w:rsid w:val="10800423"/>
    <w:rsid w:val="108451B4"/>
    <w:rsid w:val="1091203B"/>
    <w:rsid w:val="10914580"/>
    <w:rsid w:val="109A294A"/>
    <w:rsid w:val="10D713E7"/>
    <w:rsid w:val="10DF5BCC"/>
    <w:rsid w:val="11793FC2"/>
    <w:rsid w:val="11D02E86"/>
    <w:rsid w:val="13065FC3"/>
    <w:rsid w:val="13310BCA"/>
    <w:rsid w:val="139D4FEA"/>
    <w:rsid w:val="13EF4271"/>
    <w:rsid w:val="13F217DA"/>
    <w:rsid w:val="140903D6"/>
    <w:rsid w:val="144654DF"/>
    <w:rsid w:val="1511621B"/>
    <w:rsid w:val="151B08BC"/>
    <w:rsid w:val="1566140B"/>
    <w:rsid w:val="16057EAE"/>
    <w:rsid w:val="162D3A53"/>
    <w:rsid w:val="163B0388"/>
    <w:rsid w:val="16A8140C"/>
    <w:rsid w:val="16D72F09"/>
    <w:rsid w:val="16DF591A"/>
    <w:rsid w:val="1705104D"/>
    <w:rsid w:val="171400EC"/>
    <w:rsid w:val="175C045F"/>
    <w:rsid w:val="1781069F"/>
    <w:rsid w:val="178169D1"/>
    <w:rsid w:val="17C23687"/>
    <w:rsid w:val="17CC542C"/>
    <w:rsid w:val="17E07B9B"/>
    <w:rsid w:val="17E41EF3"/>
    <w:rsid w:val="17E62C77"/>
    <w:rsid w:val="18493574"/>
    <w:rsid w:val="185760AF"/>
    <w:rsid w:val="18617D0D"/>
    <w:rsid w:val="18816044"/>
    <w:rsid w:val="189015C1"/>
    <w:rsid w:val="18952734"/>
    <w:rsid w:val="189B6BED"/>
    <w:rsid w:val="19090A90"/>
    <w:rsid w:val="192E3BDE"/>
    <w:rsid w:val="19414DFD"/>
    <w:rsid w:val="194F7996"/>
    <w:rsid w:val="199472A7"/>
    <w:rsid w:val="199F3505"/>
    <w:rsid w:val="19C24451"/>
    <w:rsid w:val="1A921036"/>
    <w:rsid w:val="1AFD2812"/>
    <w:rsid w:val="1B3B113D"/>
    <w:rsid w:val="1B4721FF"/>
    <w:rsid w:val="1BB45658"/>
    <w:rsid w:val="1BB830C3"/>
    <w:rsid w:val="1BBB7A8F"/>
    <w:rsid w:val="1BE402F6"/>
    <w:rsid w:val="1BE85270"/>
    <w:rsid w:val="1BF43C15"/>
    <w:rsid w:val="1C066719"/>
    <w:rsid w:val="1C0E3C43"/>
    <w:rsid w:val="1C154AC4"/>
    <w:rsid w:val="1CA67DA5"/>
    <w:rsid w:val="1CDB78F4"/>
    <w:rsid w:val="1CEC2380"/>
    <w:rsid w:val="1D3C6C87"/>
    <w:rsid w:val="1D786CAA"/>
    <w:rsid w:val="1D994A74"/>
    <w:rsid w:val="1DA97D6B"/>
    <w:rsid w:val="1DAF0AF8"/>
    <w:rsid w:val="1DF148B0"/>
    <w:rsid w:val="1E144BFC"/>
    <w:rsid w:val="1E3B5525"/>
    <w:rsid w:val="1EA90CE7"/>
    <w:rsid w:val="1EE53DA2"/>
    <w:rsid w:val="1F0E505F"/>
    <w:rsid w:val="1F444EB4"/>
    <w:rsid w:val="1FD47122"/>
    <w:rsid w:val="1FEA7809"/>
    <w:rsid w:val="20074B9B"/>
    <w:rsid w:val="20293178"/>
    <w:rsid w:val="20347220"/>
    <w:rsid w:val="20AD2DAB"/>
    <w:rsid w:val="20C462AC"/>
    <w:rsid w:val="20CA389C"/>
    <w:rsid w:val="20D81D57"/>
    <w:rsid w:val="20E701B8"/>
    <w:rsid w:val="213775B4"/>
    <w:rsid w:val="21461CA4"/>
    <w:rsid w:val="21906BAC"/>
    <w:rsid w:val="219A280D"/>
    <w:rsid w:val="219E6AFD"/>
    <w:rsid w:val="21AE7CE2"/>
    <w:rsid w:val="21BA290E"/>
    <w:rsid w:val="21C67955"/>
    <w:rsid w:val="21F15CAB"/>
    <w:rsid w:val="22873935"/>
    <w:rsid w:val="22D91853"/>
    <w:rsid w:val="22F62969"/>
    <w:rsid w:val="233A4DC2"/>
    <w:rsid w:val="23D6056F"/>
    <w:rsid w:val="24030E99"/>
    <w:rsid w:val="24364576"/>
    <w:rsid w:val="245B6F27"/>
    <w:rsid w:val="247A039B"/>
    <w:rsid w:val="24F3676A"/>
    <w:rsid w:val="24FA3A81"/>
    <w:rsid w:val="24FF3FBE"/>
    <w:rsid w:val="250E4DDD"/>
    <w:rsid w:val="251D1D68"/>
    <w:rsid w:val="25366711"/>
    <w:rsid w:val="25382DC5"/>
    <w:rsid w:val="254E33E6"/>
    <w:rsid w:val="25956469"/>
    <w:rsid w:val="259A0181"/>
    <w:rsid w:val="25CB22B3"/>
    <w:rsid w:val="25EC6F5C"/>
    <w:rsid w:val="26192BF6"/>
    <w:rsid w:val="26217CFD"/>
    <w:rsid w:val="268556EF"/>
    <w:rsid w:val="26B446CD"/>
    <w:rsid w:val="26C863CA"/>
    <w:rsid w:val="26DB434F"/>
    <w:rsid w:val="27160ECE"/>
    <w:rsid w:val="273803E6"/>
    <w:rsid w:val="273E22EF"/>
    <w:rsid w:val="275C6725"/>
    <w:rsid w:val="27921D79"/>
    <w:rsid w:val="27A90484"/>
    <w:rsid w:val="27A9318F"/>
    <w:rsid w:val="27C6290A"/>
    <w:rsid w:val="27C62CA3"/>
    <w:rsid w:val="27E021B6"/>
    <w:rsid w:val="27E51CC6"/>
    <w:rsid w:val="27F61A9E"/>
    <w:rsid w:val="2827625C"/>
    <w:rsid w:val="28672576"/>
    <w:rsid w:val="288602EB"/>
    <w:rsid w:val="28BE47EB"/>
    <w:rsid w:val="28C26F2F"/>
    <w:rsid w:val="28C31E5A"/>
    <w:rsid w:val="29054D27"/>
    <w:rsid w:val="29C97FF1"/>
    <w:rsid w:val="29F80D74"/>
    <w:rsid w:val="2A942E9A"/>
    <w:rsid w:val="2AB4113F"/>
    <w:rsid w:val="2ADB122C"/>
    <w:rsid w:val="2B7E5B63"/>
    <w:rsid w:val="2BFD51BC"/>
    <w:rsid w:val="2C01033F"/>
    <w:rsid w:val="2C5A5D16"/>
    <w:rsid w:val="2CE91AD0"/>
    <w:rsid w:val="2CF717B7"/>
    <w:rsid w:val="2D016DE0"/>
    <w:rsid w:val="2D3E1558"/>
    <w:rsid w:val="2D622504"/>
    <w:rsid w:val="2D6E2ADB"/>
    <w:rsid w:val="2D8017AD"/>
    <w:rsid w:val="2DB12284"/>
    <w:rsid w:val="2E182F2D"/>
    <w:rsid w:val="2E537380"/>
    <w:rsid w:val="2E70537D"/>
    <w:rsid w:val="2EB775B3"/>
    <w:rsid w:val="2EDE510D"/>
    <w:rsid w:val="2F373384"/>
    <w:rsid w:val="2F397E65"/>
    <w:rsid w:val="2F4C4463"/>
    <w:rsid w:val="2F5B4721"/>
    <w:rsid w:val="2FCC3162"/>
    <w:rsid w:val="30297EDA"/>
    <w:rsid w:val="3049749F"/>
    <w:rsid w:val="30647A33"/>
    <w:rsid w:val="308B19BC"/>
    <w:rsid w:val="30963095"/>
    <w:rsid w:val="30ED2F06"/>
    <w:rsid w:val="31363720"/>
    <w:rsid w:val="31796C3F"/>
    <w:rsid w:val="31807FCD"/>
    <w:rsid w:val="31D461CB"/>
    <w:rsid w:val="320F4EAD"/>
    <w:rsid w:val="3218366F"/>
    <w:rsid w:val="32405A31"/>
    <w:rsid w:val="32732851"/>
    <w:rsid w:val="32851872"/>
    <w:rsid w:val="32D74F8B"/>
    <w:rsid w:val="32EB3411"/>
    <w:rsid w:val="32F0569E"/>
    <w:rsid w:val="330B2C28"/>
    <w:rsid w:val="3353526D"/>
    <w:rsid w:val="33B77E0B"/>
    <w:rsid w:val="34063388"/>
    <w:rsid w:val="34CD2C9E"/>
    <w:rsid w:val="34F01800"/>
    <w:rsid w:val="34F4706D"/>
    <w:rsid w:val="350E3A44"/>
    <w:rsid w:val="35547580"/>
    <w:rsid w:val="35775243"/>
    <w:rsid w:val="358E506D"/>
    <w:rsid w:val="35A3428A"/>
    <w:rsid w:val="35C44201"/>
    <w:rsid w:val="35E04CE7"/>
    <w:rsid w:val="366B11D8"/>
    <w:rsid w:val="368D0824"/>
    <w:rsid w:val="36C707AF"/>
    <w:rsid w:val="36E94025"/>
    <w:rsid w:val="36FB1EA4"/>
    <w:rsid w:val="371A4A20"/>
    <w:rsid w:val="376C4B50"/>
    <w:rsid w:val="3772660A"/>
    <w:rsid w:val="37B95D33"/>
    <w:rsid w:val="389205E6"/>
    <w:rsid w:val="38A07EE1"/>
    <w:rsid w:val="38C63620"/>
    <w:rsid w:val="38E23DE0"/>
    <w:rsid w:val="38EC6141"/>
    <w:rsid w:val="3938148A"/>
    <w:rsid w:val="39445D84"/>
    <w:rsid w:val="394E6C03"/>
    <w:rsid w:val="396A1DBF"/>
    <w:rsid w:val="39861756"/>
    <w:rsid w:val="39DA2B64"/>
    <w:rsid w:val="39F60425"/>
    <w:rsid w:val="3A2B0CF2"/>
    <w:rsid w:val="3A506269"/>
    <w:rsid w:val="3AA0503A"/>
    <w:rsid w:val="3AB504FA"/>
    <w:rsid w:val="3B225733"/>
    <w:rsid w:val="3B453929"/>
    <w:rsid w:val="3B4A51A8"/>
    <w:rsid w:val="3B9620CF"/>
    <w:rsid w:val="3BDE7862"/>
    <w:rsid w:val="3BE86656"/>
    <w:rsid w:val="3C28373B"/>
    <w:rsid w:val="3C38549C"/>
    <w:rsid w:val="3C4A509A"/>
    <w:rsid w:val="3C5C5193"/>
    <w:rsid w:val="3C6A3D54"/>
    <w:rsid w:val="3C8C7164"/>
    <w:rsid w:val="3CEA279F"/>
    <w:rsid w:val="3CEF24AB"/>
    <w:rsid w:val="3CF135A1"/>
    <w:rsid w:val="3D4D6987"/>
    <w:rsid w:val="3D596B4B"/>
    <w:rsid w:val="3D8D39F3"/>
    <w:rsid w:val="3DBB7E56"/>
    <w:rsid w:val="3DFD6BC7"/>
    <w:rsid w:val="3E0C0914"/>
    <w:rsid w:val="3E1B0B74"/>
    <w:rsid w:val="3E3F3ED0"/>
    <w:rsid w:val="3E797946"/>
    <w:rsid w:val="3E966334"/>
    <w:rsid w:val="3EB32D81"/>
    <w:rsid w:val="3EC6723B"/>
    <w:rsid w:val="3EED6576"/>
    <w:rsid w:val="3EF04A2D"/>
    <w:rsid w:val="3EF06066"/>
    <w:rsid w:val="3F212620"/>
    <w:rsid w:val="3F4343E8"/>
    <w:rsid w:val="3F4A7E6C"/>
    <w:rsid w:val="3F8A2017"/>
    <w:rsid w:val="3FEA0D08"/>
    <w:rsid w:val="401F554F"/>
    <w:rsid w:val="40464190"/>
    <w:rsid w:val="40494851"/>
    <w:rsid w:val="4083768C"/>
    <w:rsid w:val="409273D5"/>
    <w:rsid w:val="40B97B50"/>
    <w:rsid w:val="40BD7E43"/>
    <w:rsid w:val="40D514AA"/>
    <w:rsid w:val="411C36D9"/>
    <w:rsid w:val="4139520E"/>
    <w:rsid w:val="413E22FA"/>
    <w:rsid w:val="41553829"/>
    <w:rsid w:val="4175157D"/>
    <w:rsid w:val="41950206"/>
    <w:rsid w:val="41B92BBF"/>
    <w:rsid w:val="41C90376"/>
    <w:rsid w:val="41DB2819"/>
    <w:rsid w:val="41E6502A"/>
    <w:rsid w:val="42472441"/>
    <w:rsid w:val="428C64B5"/>
    <w:rsid w:val="42B871C2"/>
    <w:rsid w:val="42CB3072"/>
    <w:rsid w:val="43075564"/>
    <w:rsid w:val="438C21E0"/>
    <w:rsid w:val="43A15B81"/>
    <w:rsid w:val="43A6626D"/>
    <w:rsid w:val="43B830DA"/>
    <w:rsid w:val="43ED3528"/>
    <w:rsid w:val="43F65226"/>
    <w:rsid w:val="43FD6B2C"/>
    <w:rsid w:val="441904BD"/>
    <w:rsid w:val="44613C8E"/>
    <w:rsid w:val="4469328F"/>
    <w:rsid w:val="44AC00B9"/>
    <w:rsid w:val="44B10046"/>
    <w:rsid w:val="450522D3"/>
    <w:rsid w:val="46284468"/>
    <w:rsid w:val="462E5798"/>
    <w:rsid w:val="463F3CEE"/>
    <w:rsid w:val="46B65A30"/>
    <w:rsid w:val="46BE4EC0"/>
    <w:rsid w:val="46C71DA3"/>
    <w:rsid w:val="46DD1652"/>
    <w:rsid w:val="47C24733"/>
    <w:rsid w:val="47CB2E56"/>
    <w:rsid w:val="47D631DB"/>
    <w:rsid w:val="485D476D"/>
    <w:rsid w:val="48B325DE"/>
    <w:rsid w:val="49057E75"/>
    <w:rsid w:val="493020BF"/>
    <w:rsid w:val="49AA7DB2"/>
    <w:rsid w:val="49AB775A"/>
    <w:rsid w:val="49B6261E"/>
    <w:rsid w:val="49FB1572"/>
    <w:rsid w:val="4AE54B54"/>
    <w:rsid w:val="4B864F83"/>
    <w:rsid w:val="4C856040"/>
    <w:rsid w:val="4CDF401E"/>
    <w:rsid w:val="4D2C6E03"/>
    <w:rsid w:val="4D7F3B57"/>
    <w:rsid w:val="4D8D0F6A"/>
    <w:rsid w:val="4DD113D1"/>
    <w:rsid w:val="4DD70B1D"/>
    <w:rsid w:val="4DFE10C7"/>
    <w:rsid w:val="4E04568A"/>
    <w:rsid w:val="4E06115F"/>
    <w:rsid w:val="4E3357E7"/>
    <w:rsid w:val="4E7D54D1"/>
    <w:rsid w:val="4EF851EF"/>
    <w:rsid w:val="4F117895"/>
    <w:rsid w:val="4F1D5C84"/>
    <w:rsid w:val="4FC155E1"/>
    <w:rsid w:val="4FCA09F6"/>
    <w:rsid w:val="4FCE73FC"/>
    <w:rsid w:val="503E031A"/>
    <w:rsid w:val="5052092F"/>
    <w:rsid w:val="506A5D08"/>
    <w:rsid w:val="50904C20"/>
    <w:rsid w:val="509A095B"/>
    <w:rsid w:val="50DC1B38"/>
    <w:rsid w:val="50F007D8"/>
    <w:rsid w:val="50F73284"/>
    <w:rsid w:val="51210D64"/>
    <w:rsid w:val="5124359F"/>
    <w:rsid w:val="51550E5A"/>
    <w:rsid w:val="5156017D"/>
    <w:rsid w:val="519A07DF"/>
    <w:rsid w:val="51A84704"/>
    <w:rsid w:val="52405559"/>
    <w:rsid w:val="52B61649"/>
    <w:rsid w:val="52D11355"/>
    <w:rsid w:val="52FD09C7"/>
    <w:rsid w:val="53051C89"/>
    <w:rsid w:val="53690469"/>
    <w:rsid w:val="53837051"/>
    <w:rsid w:val="54032364"/>
    <w:rsid w:val="544453C6"/>
    <w:rsid w:val="54D25836"/>
    <w:rsid w:val="550D4AB0"/>
    <w:rsid w:val="55124B31"/>
    <w:rsid w:val="552641FC"/>
    <w:rsid w:val="55314FB7"/>
    <w:rsid w:val="55E0078B"/>
    <w:rsid w:val="56026953"/>
    <w:rsid w:val="560D0965"/>
    <w:rsid w:val="56457125"/>
    <w:rsid w:val="564E7DE8"/>
    <w:rsid w:val="5676409F"/>
    <w:rsid w:val="569A606B"/>
    <w:rsid w:val="56B64DD1"/>
    <w:rsid w:val="56CA51BC"/>
    <w:rsid w:val="56E322E1"/>
    <w:rsid w:val="57014E5D"/>
    <w:rsid w:val="571406EC"/>
    <w:rsid w:val="574249B5"/>
    <w:rsid w:val="578735DE"/>
    <w:rsid w:val="578F06BB"/>
    <w:rsid w:val="579730CB"/>
    <w:rsid w:val="57B343A9"/>
    <w:rsid w:val="57D04AA4"/>
    <w:rsid w:val="58564D34"/>
    <w:rsid w:val="58641170"/>
    <w:rsid w:val="587A269D"/>
    <w:rsid w:val="58A375EA"/>
    <w:rsid w:val="58AE2FAB"/>
    <w:rsid w:val="58FB7589"/>
    <w:rsid w:val="59150C3A"/>
    <w:rsid w:val="59747B68"/>
    <w:rsid w:val="59B437DC"/>
    <w:rsid w:val="59D30FF8"/>
    <w:rsid w:val="59D94418"/>
    <w:rsid w:val="5A1804F3"/>
    <w:rsid w:val="5A5624C4"/>
    <w:rsid w:val="5A6204F4"/>
    <w:rsid w:val="5A6C083F"/>
    <w:rsid w:val="5A7B1258"/>
    <w:rsid w:val="5AD121D5"/>
    <w:rsid w:val="5AD90D18"/>
    <w:rsid w:val="5B081706"/>
    <w:rsid w:val="5BBA1352"/>
    <w:rsid w:val="5BE0292A"/>
    <w:rsid w:val="5BEF0861"/>
    <w:rsid w:val="5C007E73"/>
    <w:rsid w:val="5C1C5EAD"/>
    <w:rsid w:val="5C365168"/>
    <w:rsid w:val="5C855BE8"/>
    <w:rsid w:val="5CA32728"/>
    <w:rsid w:val="5CB1103E"/>
    <w:rsid w:val="5CB95936"/>
    <w:rsid w:val="5CCD01DC"/>
    <w:rsid w:val="5D011713"/>
    <w:rsid w:val="5D082632"/>
    <w:rsid w:val="5D2C119A"/>
    <w:rsid w:val="5D331AE8"/>
    <w:rsid w:val="5D3F304D"/>
    <w:rsid w:val="5D5B1A2F"/>
    <w:rsid w:val="5DD43000"/>
    <w:rsid w:val="5DE6099B"/>
    <w:rsid w:val="5E086AD1"/>
    <w:rsid w:val="5E315F82"/>
    <w:rsid w:val="5E635D67"/>
    <w:rsid w:val="5E9033B3"/>
    <w:rsid w:val="5F1855DB"/>
    <w:rsid w:val="5F6F08E8"/>
    <w:rsid w:val="5F961EB1"/>
    <w:rsid w:val="5FA8056B"/>
    <w:rsid w:val="5FF1226D"/>
    <w:rsid w:val="5FF94923"/>
    <w:rsid w:val="5FFB4B3F"/>
    <w:rsid w:val="601910DC"/>
    <w:rsid w:val="604D2EC1"/>
    <w:rsid w:val="6054424F"/>
    <w:rsid w:val="6074484D"/>
    <w:rsid w:val="60863A71"/>
    <w:rsid w:val="609378E2"/>
    <w:rsid w:val="60964A4E"/>
    <w:rsid w:val="60C2565D"/>
    <w:rsid w:val="60C56635"/>
    <w:rsid w:val="60C62FD2"/>
    <w:rsid w:val="60D006FC"/>
    <w:rsid w:val="60D45B6B"/>
    <w:rsid w:val="60EF6ACF"/>
    <w:rsid w:val="61D3513B"/>
    <w:rsid w:val="61DA560B"/>
    <w:rsid w:val="623B4CEF"/>
    <w:rsid w:val="62487DE4"/>
    <w:rsid w:val="62784B9C"/>
    <w:rsid w:val="62854B94"/>
    <w:rsid w:val="628748C5"/>
    <w:rsid w:val="629152E7"/>
    <w:rsid w:val="62AC5964"/>
    <w:rsid w:val="62BC5A0C"/>
    <w:rsid w:val="62CC27C3"/>
    <w:rsid w:val="62EC4C13"/>
    <w:rsid w:val="632443AD"/>
    <w:rsid w:val="636365C6"/>
    <w:rsid w:val="63665E9A"/>
    <w:rsid w:val="637020C5"/>
    <w:rsid w:val="639F3A33"/>
    <w:rsid w:val="64553DC9"/>
    <w:rsid w:val="64E742EF"/>
    <w:rsid w:val="652A557F"/>
    <w:rsid w:val="65656C9C"/>
    <w:rsid w:val="65687D91"/>
    <w:rsid w:val="65876E75"/>
    <w:rsid w:val="658912EB"/>
    <w:rsid w:val="65A279CD"/>
    <w:rsid w:val="65B66714"/>
    <w:rsid w:val="65CC6636"/>
    <w:rsid w:val="65DA0D53"/>
    <w:rsid w:val="65E23BC9"/>
    <w:rsid w:val="66253006"/>
    <w:rsid w:val="6656017B"/>
    <w:rsid w:val="666E0EA8"/>
    <w:rsid w:val="66705F99"/>
    <w:rsid w:val="66C87A98"/>
    <w:rsid w:val="6715402C"/>
    <w:rsid w:val="673079D5"/>
    <w:rsid w:val="6781115C"/>
    <w:rsid w:val="67846FA2"/>
    <w:rsid w:val="67864D86"/>
    <w:rsid w:val="6847518D"/>
    <w:rsid w:val="686D4300"/>
    <w:rsid w:val="68956626"/>
    <w:rsid w:val="689C2BAE"/>
    <w:rsid w:val="68B97F60"/>
    <w:rsid w:val="68D142B5"/>
    <w:rsid w:val="68D43B1A"/>
    <w:rsid w:val="69004F74"/>
    <w:rsid w:val="698A6F34"/>
    <w:rsid w:val="69AE2C22"/>
    <w:rsid w:val="69CB5582"/>
    <w:rsid w:val="6A171B28"/>
    <w:rsid w:val="6A211646"/>
    <w:rsid w:val="6A831D72"/>
    <w:rsid w:val="6A8C6B72"/>
    <w:rsid w:val="6A914F6F"/>
    <w:rsid w:val="6AA22A65"/>
    <w:rsid w:val="6AF962E5"/>
    <w:rsid w:val="6B1940CB"/>
    <w:rsid w:val="6B220CF2"/>
    <w:rsid w:val="6B597E91"/>
    <w:rsid w:val="6BAD3293"/>
    <w:rsid w:val="6BB56954"/>
    <w:rsid w:val="6C022DB1"/>
    <w:rsid w:val="6C1B76AB"/>
    <w:rsid w:val="6C243A7A"/>
    <w:rsid w:val="6C262F44"/>
    <w:rsid w:val="6C2C469A"/>
    <w:rsid w:val="6C2F13B5"/>
    <w:rsid w:val="6C4F2C75"/>
    <w:rsid w:val="6C5C4812"/>
    <w:rsid w:val="6C9C7F62"/>
    <w:rsid w:val="6CBB7391"/>
    <w:rsid w:val="6CFB419D"/>
    <w:rsid w:val="6D050669"/>
    <w:rsid w:val="6D5C055C"/>
    <w:rsid w:val="6D8A3A6C"/>
    <w:rsid w:val="6DAD31F1"/>
    <w:rsid w:val="6DF1132F"/>
    <w:rsid w:val="6E027099"/>
    <w:rsid w:val="6E080427"/>
    <w:rsid w:val="6E3F5563"/>
    <w:rsid w:val="6EDE3DAD"/>
    <w:rsid w:val="6F175189"/>
    <w:rsid w:val="6F434296"/>
    <w:rsid w:val="6F5F19C8"/>
    <w:rsid w:val="6F743FC6"/>
    <w:rsid w:val="6F7E2090"/>
    <w:rsid w:val="6FAA3E8C"/>
    <w:rsid w:val="6FC873CF"/>
    <w:rsid w:val="6FD465FA"/>
    <w:rsid w:val="6FF22E81"/>
    <w:rsid w:val="6FFC72C8"/>
    <w:rsid w:val="700540CC"/>
    <w:rsid w:val="700A07DC"/>
    <w:rsid w:val="70B0102E"/>
    <w:rsid w:val="70BD199D"/>
    <w:rsid w:val="70CD6084"/>
    <w:rsid w:val="71495716"/>
    <w:rsid w:val="71DF7078"/>
    <w:rsid w:val="71E6486A"/>
    <w:rsid w:val="72135D18"/>
    <w:rsid w:val="7251239D"/>
    <w:rsid w:val="728F09D7"/>
    <w:rsid w:val="73280CCD"/>
    <w:rsid w:val="732D2E0A"/>
    <w:rsid w:val="732E26DE"/>
    <w:rsid w:val="736D6C6F"/>
    <w:rsid w:val="73B76B77"/>
    <w:rsid w:val="743608B6"/>
    <w:rsid w:val="74494F55"/>
    <w:rsid w:val="746E1C82"/>
    <w:rsid w:val="74730CF0"/>
    <w:rsid w:val="74845E68"/>
    <w:rsid w:val="74A569D0"/>
    <w:rsid w:val="74B15375"/>
    <w:rsid w:val="74BA308E"/>
    <w:rsid w:val="74C12273"/>
    <w:rsid w:val="754937FF"/>
    <w:rsid w:val="755E00A5"/>
    <w:rsid w:val="756471FB"/>
    <w:rsid w:val="75B72E5F"/>
    <w:rsid w:val="76175631"/>
    <w:rsid w:val="761958C7"/>
    <w:rsid w:val="76637BC6"/>
    <w:rsid w:val="767B7A6D"/>
    <w:rsid w:val="76FB6D7B"/>
    <w:rsid w:val="771F5D7B"/>
    <w:rsid w:val="77A02E51"/>
    <w:rsid w:val="78281CA8"/>
    <w:rsid w:val="78364649"/>
    <w:rsid w:val="783C32F9"/>
    <w:rsid w:val="78904C62"/>
    <w:rsid w:val="78A53AA7"/>
    <w:rsid w:val="78F20F96"/>
    <w:rsid w:val="790D027A"/>
    <w:rsid w:val="791070B3"/>
    <w:rsid w:val="79515378"/>
    <w:rsid w:val="79852939"/>
    <w:rsid w:val="79886A5F"/>
    <w:rsid w:val="79CC4C7F"/>
    <w:rsid w:val="79D82C55"/>
    <w:rsid w:val="7A0B3779"/>
    <w:rsid w:val="7A4A4FAE"/>
    <w:rsid w:val="7A4B7668"/>
    <w:rsid w:val="7A5A025C"/>
    <w:rsid w:val="7A9A343D"/>
    <w:rsid w:val="7AA037BE"/>
    <w:rsid w:val="7AC769EB"/>
    <w:rsid w:val="7AE14228"/>
    <w:rsid w:val="7AFB68A2"/>
    <w:rsid w:val="7B183FF5"/>
    <w:rsid w:val="7BB649D2"/>
    <w:rsid w:val="7BFF7FF2"/>
    <w:rsid w:val="7C33788A"/>
    <w:rsid w:val="7C3E4752"/>
    <w:rsid w:val="7C540886"/>
    <w:rsid w:val="7C7724CA"/>
    <w:rsid w:val="7CC917F4"/>
    <w:rsid w:val="7CD74885"/>
    <w:rsid w:val="7CDB5685"/>
    <w:rsid w:val="7CE95C0F"/>
    <w:rsid w:val="7D087430"/>
    <w:rsid w:val="7D2C632C"/>
    <w:rsid w:val="7D513B99"/>
    <w:rsid w:val="7D8C2E23"/>
    <w:rsid w:val="7DE70059"/>
    <w:rsid w:val="7E12157A"/>
    <w:rsid w:val="7E233D9F"/>
    <w:rsid w:val="7E30040E"/>
    <w:rsid w:val="7EB52346"/>
    <w:rsid w:val="7EE415A0"/>
    <w:rsid w:val="7F00468B"/>
    <w:rsid w:val="7F342EBD"/>
    <w:rsid w:val="7F643BC2"/>
    <w:rsid w:val="7F9B73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widowControl/>
      <w:spacing w:line="288" w:lineRule="auto"/>
      <w:ind w:firstLine="680"/>
    </w:pPr>
    <w:rPr>
      <w:rFonts w:eastAsia="??_GB2312"/>
      <w:sz w:val="32"/>
      <w:szCs w:val="20"/>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年报标题"/>
    <w:basedOn w:val="1"/>
    <w:qFormat/>
    <w:uiPriority w:val="0"/>
    <w:pPr>
      <w:autoSpaceDE w:val="0"/>
      <w:autoSpaceDN w:val="0"/>
      <w:adjustRightInd w:val="0"/>
      <w:spacing w:before="0" w:after="0" w:line="460" w:lineRule="exact"/>
      <w:ind w:firstLine="0" w:firstLineChars="0"/>
      <w:jc w:val="left"/>
    </w:pPr>
    <w:rPr>
      <w:rFonts w:hint="eastAsia" w:ascii="宋体" w:hAnsi="宋体" w:eastAsia="宋体"/>
      <w:b/>
      <w:color w:val="auto"/>
      <w:sz w:val="24"/>
      <w:lang w:val="zh-CN"/>
    </w:rPr>
  </w:style>
  <w:style w:type="paragraph" w:customStyle="1" w:styleId="11">
    <w:name w:val="年报正文首行缩2"/>
    <w:basedOn w:val="1"/>
    <w:qFormat/>
    <w:uiPriority w:val="0"/>
    <w:pPr>
      <w:autoSpaceDE w:val="0"/>
      <w:autoSpaceDN w:val="0"/>
      <w:adjustRightInd w:val="0"/>
      <w:spacing w:before="0" w:after="0" w:line="460" w:lineRule="exact"/>
      <w:ind w:firstLine="964" w:firstLineChars="200"/>
      <w:jc w:val="left"/>
    </w:pPr>
    <w:rPr>
      <w:rFonts w:hint="eastAsia" w:ascii="宋体" w:hAnsi="宋体" w:eastAsia="宋体"/>
      <w:color w:val="auto"/>
      <w:sz w:val="24"/>
      <w:lang w:val="zh-CN"/>
    </w:rPr>
  </w:style>
  <w:style w:type="paragraph" w:customStyle="1" w:styleId="12">
    <w:name w:val="年报标题2"/>
    <w:basedOn w:val="1"/>
    <w:qFormat/>
    <w:uiPriority w:val="0"/>
    <w:pPr>
      <w:autoSpaceDE w:val="0"/>
      <w:autoSpaceDN w:val="0"/>
      <w:adjustRightInd w:val="0"/>
      <w:spacing w:before="0" w:after="0" w:line="460" w:lineRule="exact"/>
      <w:ind w:firstLine="964" w:firstLineChars="200"/>
      <w:jc w:val="left"/>
    </w:pPr>
    <w:rPr>
      <w:rFonts w:hint="eastAsia" w:ascii="宋体" w:hAnsi="宋体" w:eastAsia="宋体"/>
      <w:b/>
      <w:color w:val="auto"/>
      <w:sz w:val="24"/>
      <w:lang w:val="zh-CN"/>
    </w:rPr>
  </w:style>
  <w:style w:type="paragraph" w:customStyle="1" w:styleId="13">
    <w:name w:val="年报正文"/>
    <w:basedOn w:val="1"/>
    <w:qFormat/>
    <w:uiPriority w:val="0"/>
    <w:pPr>
      <w:autoSpaceDE w:val="0"/>
      <w:autoSpaceDN w:val="0"/>
      <w:adjustRightInd w:val="0"/>
      <w:spacing w:before="0" w:after="0" w:line="460" w:lineRule="exact"/>
      <w:jc w:val="left"/>
    </w:pPr>
    <w:rPr>
      <w:rFonts w:hint="eastAsia" w:ascii="宋体" w:hAnsi="宋体" w:eastAsia="宋体"/>
      <w:color w:val="auto"/>
      <w:sz w:val="24"/>
      <w:lang w:val="zh-CN"/>
    </w:rPr>
  </w:style>
  <w:style w:type="paragraph" w:customStyle="1" w:styleId="14">
    <w:name w:val="年报正文首缩"/>
    <w:basedOn w:val="1"/>
    <w:qFormat/>
    <w:uiPriority w:val="0"/>
    <w:pPr>
      <w:autoSpaceDE w:val="0"/>
      <w:autoSpaceDN w:val="0"/>
      <w:adjustRightInd w:val="0"/>
      <w:spacing w:before="0" w:after="0" w:line="460" w:lineRule="exact"/>
      <w:ind w:firstLine="964" w:firstLineChars="200"/>
      <w:jc w:val="left"/>
    </w:pPr>
    <w:rPr>
      <w:rFonts w:hint="eastAsia" w:ascii="宋体" w:hAnsi="宋体" w:eastAsia="宋体"/>
      <w:color w:val="auto"/>
      <w:sz w:val="24"/>
      <w:lang w:val="zh-CN"/>
    </w:rPr>
  </w:style>
  <w:style w:type="paragraph" w:customStyle="1" w:styleId="15">
    <w:name w:val="年报标题1"/>
    <w:basedOn w:val="1"/>
    <w:qFormat/>
    <w:uiPriority w:val="0"/>
    <w:pPr>
      <w:autoSpaceDE w:val="0"/>
      <w:autoSpaceDN w:val="0"/>
      <w:adjustRightInd w:val="0"/>
      <w:spacing w:before="0" w:after="0" w:line="460" w:lineRule="exact"/>
      <w:jc w:val="left"/>
    </w:pPr>
    <w:rPr>
      <w:rFonts w:hint="eastAsia" w:ascii="宋体" w:hAnsi="宋体" w:eastAsia="宋体"/>
      <w:b/>
      <w:color w:val="auto"/>
      <w:sz w:val="30"/>
      <w:lang w:val="zh-CN"/>
    </w:rPr>
  </w:style>
  <w:style w:type="paragraph" w:customStyle="1" w:styleId="16">
    <w:name w:val="年报正文首缩2"/>
    <w:basedOn w:val="1"/>
    <w:qFormat/>
    <w:uiPriority w:val="0"/>
    <w:pPr>
      <w:autoSpaceDE w:val="0"/>
      <w:autoSpaceDN w:val="0"/>
      <w:adjustRightInd w:val="0"/>
      <w:spacing w:before="0" w:after="0" w:line="460" w:lineRule="exact"/>
      <w:ind w:firstLine="964" w:firstLineChars="200"/>
      <w:jc w:val="left"/>
    </w:pPr>
    <w:rPr>
      <w:rFonts w:hint="eastAsia" w:ascii="宋体" w:hAnsi="宋体" w:eastAsia="宋体"/>
      <w:color w:val="auto"/>
      <w:sz w:val="24"/>
      <w:lang w:val="zh-CN"/>
    </w:rPr>
  </w:style>
  <w:style w:type="paragraph" w:customStyle="1" w:styleId="17">
    <w:name w:val="年报标题缩2"/>
    <w:basedOn w:val="1"/>
    <w:qFormat/>
    <w:uiPriority w:val="0"/>
    <w:pPr>
      <w:autoSpaceDE w:val="0"/>
      <w:autoSpaceDN w:val="0"/>
      <w:adjustRightInd w:val="0"/>
      <w:spacing w:before="0" w:after="0" w:line="460" w:lineRule="exact"/>
      <w:ind w:firstLine="964" w:firstLineChars="200"/>
      <w:jc w:val="left"/>
    </w:pPr>
    <w:rPr>
      <w:rFonts w:hint="eastAsia" w:ascii="宋体" w:hAnsi="宋体" w:eastAsia="宋体"/>
      <w:b/>
      <w:color w:val="auto"/>
      <w:sz w:val="24"/>
      <w:lang w:val="zh-CN"/>
    </w:rPr>
  </w:style>
  <w:style w:type="paragraph" w:customStyle="1" w:styleId="18">
    <w:name w:val="年报正文1"/>
    <w:basedOn w:val="1"/>
    <w:qFormat/>
    <w:uiPriority w:val="0"/>
    <w:pPr>
      <w:autoSpaceDE w:val="0"/>
      <w:autoSpaceDN w:val="0"/>
      <w:adjustRightInd w:val="0"/>
      <w:spacing w:before="0" w:after="0" w:line="440" w:lineRule="exact"/>
      <w:jc w:val="left"/>
    </w:pPr>
    <w:rPr>
      <w:rFonts w:hint="eastAsia" w:ascii="宋体" w:hAnsi="宋体" w:eastAsia="宋体"/>
      <w:color w:val="auto"/>
      <w:sz w:val="24"/>
      <w:lang w:val="zh-CN"/>
    </w:rPr>
  </w:style>
  <w:style w:type="paragraph" w:customStyle="1" w:styleId="19">
    <w:name w:val="年报正文首缩22"/>
    <w:basedOn w:val="1"/>
    <w:qFormat/>
    <w:uiPriority w:val="0"/>
    <w:pPr>
      <w:autoSpaceDE w:val="0"/>
      <w:autoSpaceDN w:val="0"/>
      <w:adjustRightInd w:val="0"/>
      <w:spacing w:before="0" w:after="0" w:line="440" w:lineRule="exact"/>
      <w:ind w:firstLine="964" w:firstLineChars="200"/>
      <w:jc w:val="left"/>
    </w:pPr>
    <w:rPr>
      <w:rFonts w:hint="eastAsia" w:ascii="宋体" w:hAnsi="宋体" w:eastAsia="宋体"/>
      <w:color w:val="auto"/>
      <w:sz w:val="24"/>
      <w:lang w:val="zh-CN"/>
    </w:rPr>
  </w:style>
  <w:style w:type="paragraph" w:customStyle="1" w:styleId="20">
    <w:name w:val="年报标题11"/>
    <w:basedOn w:val="1"/>
    <w:qFormat/>
    <w:uiPriority w:val="0"/>
    <w:pPr>
      <w:autoSpaceDE w:val="0"/>
      <w:autoSpaceDN w:val="0"/>
      <w:adjustRightInd w:val="0"/>
      <w:spacing w:before="0" w:after="0" w:line="440" w:lineRule="exact"/>
      <w:jc w:val="left"/>
    </w:pPr>
    <w:rPr>
      <w:rFonts w:hint="eastAsia" w:ascii="宋体" w:hAnsi="宋体" w:eastAsia="宋体"/>
      <w:b/>
      <w:color w:val="auto"/>
      <w:sz w:val="24"/>
      <w:lang w:val="zh-CN"/>
    </w:rPr>
  </w:style>
  <w:style w:type="paragraph" w:customStyle="1" w:styleId="21">
    <w:name w:val="009单位"/>
    <w:basedOn w:val="22"/>
    <w:qFormat/>
    <w:uiPriority w:val="0"/>
    <w:pPr>
      <w:keepNext/>
      <w:spacing w:before="0" w:beforeLines="0" w:line="240" w:lineRule="auto"/>
      <w:ind w:firstLine="0" w:firstLineChars="0"/>
      <w:jc w:val="right"/>
    </w:pPr>
    <w:rPr>
      <w:sz w:val="21"/>
    </w:rPr>
  </w:style>
  <w:style w:type="paragraph" w:customStyle="1" w:styleId="22">
    <w:name w:val="005正文"/>
    <w:basedOn w:val="1"/>
    <w:qFormat/>
    <w:uiPriority w:val="0"/>
    <w:pPr>
      <w:spacing w:before="50" w:beforeLines="50" w:line="360" w:lineRule="auto"/>
      <w:ind w:firstLine="200" w:firstLineChars="200"/>
    </w:pPr>
    <w:rPr>
      <w:rFonts w:ascii="Times New Roman" w:hAnsi="Times New Roman" w:eastAsia="宋体" w:cs="Times New Roman"/>
      <w:sz w:val="24"/>
      <w:szCs w:val="22"/>
    </w:rPr>
  </w:style>
  <w:style w:type="paragraph" w:customStyle="1" w:styleId="23">
    <w:name w:val="Table Text"/>
    <w:basedOn w:val="1"/>
    <w:semiHidden/>
    <w:qFormat/>
    <w:uiPriority w:val="0"/>
    <w:rPr>
      <w:rFonts w:ascii="宋体" w:hAnsi="宋体" w:eastAsia="宋体" w:cs="宋体"/>
      <w:sz w:val="24"/>
      <w:szCs w:val="24"/>
      <w:lang w:val="en-US" w:eastAsia="en-US" w:bidi="ar-SA"/>
    </w:rPr>
  </w:style>
  <w:style w:type="table" w:customStyle="1" w:styleId="2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1888</Words>
  <Characters>2007</Characters>
  <Lines>0</Lines>
  <Paragraphs>0</Paragraphs>
  <TotalTime>6</TotalTime>
  <ScaleCrop>false</ScaleCrop>
  <LinksUpToDate>false</LinksUpToDate>
  <CharactersWithSpaces>2070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2024-10-25T00:41:00Z</dcterms:created>
  <dc:creator>付佳歆</dc:creator>
  <cp:lastModifiedBy>王植渊</cp:lastModifiedBy>
  <dcterms:modified xsi:type="dcterms:W3CDTF">2025-06-17T09:33:12Z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B1E0F6DE7E984BA0ADDD5C31F5826B5B_13</vt:lpwstr>
  </property>
  <property fmtid="{D5CDD505-2E9C-101B-9397-08002B2CF9AE}" pid="4" name="KSOTemplateDocerSaveRecord">
    <vt:lpwstr>eyJoZGlkIjoiMTNhMThlMGVmMzdjNzU4ZDQ0OWZjNjY0ODQ0MDMzZDUifQ==</vt:lpwstr>
  </property>
</Properties>
</file>